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Pr="00503161" w:rsidRDefault="00CF4B96" w:rsidP="00503161">
      <w:pPr>
        <w:pStyle w:val="ad"/>
        <w:spacing w:before="0" w:line="360" w:lineRule="auto"/>
        <w:rPr>
          <w:rFonts w:asciiTheme="majorHAnsi" w:hAnsiTheme="majorHAnsi"/>
        </w:rPr>
      </w:pPr>
      <w:r w:rsidRPr="00503161">
        <w:rPr>
          <w:rFonts w:asciiTheme="majorHAnsi" w:hAnsiTheme="majorHAnsi"/>
        </w:rPr>
        <w:t>Оглавление</w:t>
      </w:r>
    </w:p>
    <w:p w:rsidR="00503161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503161">
        <w:rPr>
          <w:u w:val="none"/>
        </w:rPr>
        <w:fldChar w:fldCharType="begin"/>
      </w:r>
      <w:r w:rsidR="00CF4B96" w:rsidRPr="00503161">
        <w:rPr>
          <w:u w:val="none"/>
        </w:rPr>
        <w:instrText xml:space="preserve"> TOC \o "1-3" \h \z \u </w:instrText>
      </w:r>
      <w:r w:rsidRPr="00503161">
        <w:rPr>
          <w:u w:val="none"/>
        </w:rPr>
        <w:fldChar w:fldCharType="separate"/>
      </w:r>
      <w:hyperlink w:anchor="_Toc7621095" w:history="1">
        <w:r w:rsidR="00503161" w:rsidRPr="004007F8">
          <w:rPr>
            <w:rStyle w:val="ae"/>
          </w:rPr>
          <w:t>Учебная практика 1 – Б2.У.1</w:t>
        </w:r>
        <w:r w:rsidR="00503161">
          <w:rPr>
            <w:webHidden/>
          </w:rPr>
          <w:tab/>
        </w:r>
        <w:r w:rsidR="00503161">
          <w:rPr>
            <w:webHidden/>
          </w:rPr>
          <w:fldChar w:fldCharType="begin"/>
        </w:r>
        <w:r w:rsidR="00503161">
          <w:rPr>
            <w:webHidden/>
          </w:rPr>
          <w:instrText xml:space="preserve"> PAGEREF _Toc7621095 \h </w:instrText>
        </w:r>
        <w:r w:rsidR="00503161">
          <w:rPr>
            <w:webHidden/>
          </w:rPr>
        </w:r>
        <w:r w:rsidR="00503161">
          <w:rPr>
            <w:webHidden/>
          </w:rPr>
          <w:fldChar w:fldCharType="separate"/>
        </w:r>
        <w:r w:rsidR="00503161">
          <w:rPr>
            <w:webHidden/>
          </w:rPr>
          <w:t>2</w:t>
        </w:r>
        <w:r w:rsidR="00503161">
          <w:rPr>
            <w:webHidden/>
          </w:rPr>
          <w:fldChar w:fldCharType="end"/>
        </w:r>
      </w:hyperlink>
    </w:p>
    <w:p w:rsidR="00503161" w:rsidRDefault="0050316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1096" w:history="1">
        <w:r w:rsidRPr="004007F8">
          <w:rPr>
            <w:rStyle w:val="ae"/>
          </w:rPr>
          <w:t>Учебная практика 2 – Б2.У.2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_Toc7621096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03161" w:rsidRDefault="0050316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1097" w:history="1">
        <w:r w:rsidRPr="004007F8">
          <w:rPr>
            <w:rStyle w:val="ae"/>
          </w:rPr>
          <w:t>Учебная практика 3 – Б2.У.3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_Toc7621097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03161" w:rsidRDefault="0050316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1098" w:history="1">
        <w:r w:rsidRPr="004007F8">
          <w:rPr>
            <w:rStyle w:val="ae"/>
          </w:rPr>
          <w:t>Н</w:t>
        </w:r>
        <w:r w:rsidRPr="004007F8">
          <w:rPr>
            <w:rStyle w:val="ae"/>
            <w:rFonts w:eastAsia="Calibri"/>
          </w:rPr>
          <w:t>аучно-исследовательск</w:t>
        </w:r>
        <w:r w:rsidRPr="004007F8">
          <w:rPr>
            <w:rStyle w:val="ae"/>
          </w:rPr>
          <w:t>ая</w:t>
        </w:r>
        <w:r w:rsidRPr="004007F8">
          <w:rPr>
            <w:rStyle w:val="ae"/>
            <w:rFonts w:eastAsia="Calibri"/>
          </w:rPr>
          <w:t xml:space="preserve"> работ</w:t>
        </w:r>
        <w:r w:rsidRPr="004007F8">
          <w:rPr>
            <w:rStyle w:val="ae"/>
          </w:rPr>
          <w:t>а</w:t>
        </w:r>
        <w:r w:rsidRPr="004007F8">
          <w:rPr>
            <w:rStyle w:val="ae"/>
            <w:rFonts w:eastAsia="Calibri"/>
          </w:rPr>
          <w:t xml:space="preserve"> – Б2.Н.1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_Toc7621098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03161" w:rsidRDefault="0050316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1099" w:history="1">
        <w:r w:rsidRPr="004007F8">
          <w:rPr>
            <w:rStyle w:val="ae"/>
          </w:rPr>
          <w:t>П</w:t>
        </w:r>
        <w:r w:rsidRPr="004007F8">
          <w:rPr>
            <w:rStyle w:val="ae"/>
            <w:rFonts w:eastAsia="Calibri"/>
          </w:rPr>
          <w:t>роизводственн</w:t>
        </w:r>
        <w:r w:rsidRPr="004007F8">
          <w:rPr>
            <w:rStyle w:val="ae"/>
          </w:rPr>
          <w:t>ая</w:t>
        </w:r>
        <w:r w:rsidRPr="004007F8">
          <w:rPr>
            <w:rStyle w:val="ae"/>
            <w:rFonts w:eastAsia="Calibri"/>
          </w:rPr>
          <w:t xml:space="preserve"> практик</w:t>
        </w:r>
        <w:r w:rsidRPr="004007F8">
          <w:rPr>
            <w:rStyle w:val="ae"/>
          </w:rPr>
          <w:t>а</w:t>
        </w:r>
        <w:r w:rsidRPr="004007F8">
          <w:rPr>
            <w:rStyle w:val="ae"/>
            <w:rFonts w:eastAsia="Calibri"/>
          </w:rPr>
          <w:t xml:space="preserve"> – Б2.П.1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_Toc7621099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03161" w:rsidRDefault="00503161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hyperlink w:anchor="_Toc7621100" w:history="1">
        <w:r w:rsidRPr="004007F8">
          <w:rPr>
            <w:rStyle w:val="ae"/>
          </w:rPr>
          <w:t>П</w:t>
        </w:r>
        <w:r w:rsidRPr="004007F8">
          <w:rPr>
            <w:rStyle w:val="ae"/>
            <w:rFonts w:eastAsia="Calibri"/>
          </w:rPr>
          <w:t>реддипломн</w:t>
        </w:r>
        <w:r w:rsidRPr="004007F8">
          <w:rPr>
            <w:rStyle w:val="ae"/>
          </w:rPr>
          <w:t>ая</w:t>
        </w:r>
        <w:r w:rsidRPr="004007F8">
          <w:rPr>
            <w:rStyle w:val="ae"/>
            <w:rFonts w:eastAsia="Calibri"/>
          </w:rPr>
          <w:t xml:space="preserve"> практик</w:t>
        </w:r>
        <w:r w:rsidRPr="004007F8">
          <w:rPr>
            <w:rStyle w:val="ae"/>
          </w:rPr>
          <w:t>а</w:t>
        </w:r>
        <w:r w:rsidRPr="004007F8">
          <w:rPr>
            <w:rStyle w:val="ae"/>
            <w:rFonts w:eastAsia="Calibri"/>
          </w:rPr>
          <w:t xml:space="preserve"> – Б2.П.2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_Toc7621100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F4B96" w:rsidRPr="00503161" w:rsidRDefault="00EC730D" w:rsidP="00503161">
      <w:pPr>
        <w:spacing w:line="360" w:lineRule="auto"/>
        <w:rPr>
          <w:sz w:val="24"/>
          <w:szCs w:val="24"/>
        </w:rPr>
      </w:pPr>
      <w:r w:rsidRPr="00503161">
        <w:rPr>
          <w:sz w:val="24"/>
          <w:szCs w:val="24"/>
        </w:rPr>
        <w:fldChar w:fldCharType="end"/>
      </w:r>
    </w:p>
    <w:p w:rsidR="00955909" w:rsidRPr="00503161" w:rsidRDefault="00CF4B96" w:rsidP="00503161">
      <w:pPr>
        <w:keepNext/>
        <w:spacing w:line="360" w:lineRule="auto"/>
        <w:jc w:val="center"/>
        <w:rPr>
          <w:sz w:val="24"/>
          <w:szCs w:val="24"/>
        </w:rPr>
      </w:pPr>
      <w:r w:rsidRPr="00503161">
        <w:rPr>
          <w:b/>
          <w:bCs/>
          <w:sz w:val="24"/>
          <w:szCs w:val="24"/>
        </w:rPr>
        <w:br w:type="page"/>
      </w: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lastRenderedPageBreak/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szCs w:val="24"/>
        </w:rPr>
      </w:pPr>
      <w:bookmarkStart w:id="0" w:name="_Toc7621095"/>
      <w:r w:rsidRPr="00503161">
        <w:rPr>
          <w:szCs w:val="24"/>
        </w:rPr>
        <w:t xml:space="preserve">Учебная </w:t>
      </w:r>
      <w:r w:rsidRPr="00503161">
        <w:rPr>
          <w:szCs w:val="24"/>
        </w:rPr>
        <w:t>практика</w:t>
      </w:r>
      <w:r w:rsidRPr="00503161">
        <w:rPr>
          <w:szCs w:val="24"/>
        </w:rPr>
        <w:t xml:space="preserve"> 1 – Б</w:t>
      </w:r>
      <w:proofErr w:type="gramStart"/>
      <w:r w:rsidRPr="00503161">
        <w:rPr>
          <w:szCs w:val="24"/>
        </w:rPr>
        <w:t>2</w:t>
      </w:r>
      <w:proofErr w:type="gramEnd"/>
      <w:r w:rsidRPr="00503161">
        <w:rPr>
          <w:szCs w:val="24"/>
        </w:rPr>
        <w:t>.У.1</w:t>
      </w:r>
      <w:bookmarkEnd w:id="0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Цель практики: </w:t>
      </w:r>
      <w:r w:rsidRPr="00503161">
        <w:rPr>
          <w:sz w:val="24"/>
          <w:szCs w:val="24"/>
        </w:rPr>
        <w:t>приобретение практических умений и навыков в сфере коммун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кации, получение опыта самостоятельной творческой и предметной деятельности; форм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рование у обучающихся понимания видов и объектов профессиональной деятельности; обеспечение у студентов способности понимать сущность и значение информации в разв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тии современного информационного общества.</w:t>
      </w:r>
      <w:proofErr w:type="gramEnd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sz w:val="24"/>
          <w:szCs w:val="24"/>
        </w:rPr>
        <w:t>учебная практика блока 2 «Практики, в том числе научно-исследовательская работа (НИР)» подготовки специалистов по специальн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 xml:space="preserve">сти </w:t>
      </w:r>
      <w:r w:rsidRPr="00503161">
        <w:rPr>
          <w:color w:val="000000"/>
          <w:sz w:val="24"/>
          <w:szCs w:val="24"/>
          <w:shd w:val="clear" w:color="auto" w:fill="FFFFFF"/>
        </w:rPr>
        <w:t>11.05.01</w:t>
      </w:r>
      <w:r w:rsidRPr="00503161">
        <w:rPr>
          <w:color w:val="000000"/>
          <w:sz w:val="24"/>
          <w:szCs w:val="24"/>
        </w:rPr>
        <w:t xml:space="preserve"> </w:t>
      </w:r>
      <w:r w:rsidRPr="00503161">
        <w:rPr>
          <w:sz w:val="24"/>
          <w:szCs w:val="24"/>
        </w:rPr>
        <w:t>Радиоэлектронные системы и комплексы (специализация: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Радионавигацио</w:t>
      </w:r>
      <w:r w:rsidRPr="00503161">
        <w:rPr>
          <w:sz w:val="24"/>
          <w:szCs w:val="24"/>
        </w:rPr>
        <w:t>н</w:t>
      </w:r>
      <w:r w:rsidRPr="00503161">
        <w:rPr>
          <w:sz w:val="24"/>
          <w:szCs w:val="24"/>
        </w:rPr>
        <w:t>ные системы и комплексы).</w:t>
      </w:r>
      <w:proofErr w:type="gramEnd"/>
      <w:r w:rsidRPr="00503161">
        <w:rPr>
          <w:sz w:val="24"/>
          <w:szCs w:val="24"/>
        </w:rPr>
        <w:t xml:space="preserve"> Количество зачетных единиц – 1.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>Содержание разделов:</w:t>
      </w:r>
      <w:r w:rsidRPr="00503161">
        <w:rPr>
          <w:sz w:val="24"/>
          <w:szCs w:val="24"/>
        </w:rPr>
        <w:t xml:space="preserve"> адаптация и привыкание студентов 1 курса к социуму вну</w:t>
      </w:r>
      <w:r w:rsidRPr="00503161">
        <w:rPr>
          <w:sz w:val="24"/>
          <w:szCs w:val="24"/>
        </w:rPr>
        <w:t>т</w:t>
      </w:r>
      <w:r w:rsidRPr="00503161">
        <w:rPr>
          <w:sz w:val="24"/>
          <w:szCs w:val="24"/>
        </w:rPr>
        <w:t>ри университета, знакомство с правилами внутреннего распорядка НИУ МЭИ, в том числе с порядком вынесения взысканий и поощрений; формирование навыков взаимодействия студентов друг с другом и с преподавателями и другими сотрудниками университета, об</w:t>
      </w:r>
      <w:r w:rsidRPr="00503161">
        <w:rPr>
          <w:sz w:val="24"/>
          <w:szCs w:val="24"/>
        </w:rPr>
        <w:t>у</w:t>
      </w:r>
      <w:r w:rsidRPr="00503161">
        <w:rPr>
          <w:sz w:val="24"/>
          <w:szCs w:val="24"/>
        </w:rPr>
        <w:t>чение организации работы и управления коллективом учащихся, активного общения со студентами первых курсов в учебной сфере деятельности;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активного общения с преподав</w:t>
      </w:r>
      <w:r w:rsidRPr="00503161">
        <w:rPr>
          <w:sz w:val="24"/>
          <w:szCs w:val="24"/>
        </w:rPr>
        <w:t>а</w:t>
      </w:r>
      <w:r w:rsidRPr="00503161">
        <w:rPr>
          <w:sz w:val="24"/>
          <w:szCs w:val="24"/>
        </w:rPr>
        <w:t>телем во время собеседования по результатам практики; обучение по выполнению колле</w:t>
      </w:r>
      <w:r w:rsidRPr="00503161">
        <w:rPr>
          <w:sz w:val="24"/>
          <w:szCs w:val="24"/>
        </w:rPr>
        <w:t>к</w:t>
      </w:r>
      <w:r w:rsidRPr="00503161">
        <w:rPr>
          <w:sz w:val="24"/>
          <w:szCs w:val="24"/>
        </w:rPr>
        <w:t>тивных проектов всей группой во главе со старостой и его заместителем; проведение эк</w:t>
      </w:r>
      <w:r w:rsidRPr="00503161">
        <w:rPr>
          <w:sz w:val="24"/>
          <w:szCs w:val="24"/>
        </w:rPr>
        <w:t>с</w:t>
      </w:r>
      <w:r w:rsidRPr="00503161">
        <w:rPr>
          <w:sz w:val="24"/>
          <w:szCs w:val="24"/>
        </w:rPr>
        <w:t>курсии для ознакомления со структурой библиотеки, её возможностями; проведение пр</w:t>
      </w:r>
      <w:r w:rsidRPr="00503161">
        <w:rPr>
          <w:sz w:val="24"/>
          <w:szCs w:val="24"/>
        </w:rPr>
        <w:t>е</w:t>
      </w:r>
      <w:r w:rsidRPr="00503161">
        <w:rPr>
          <w:sz w:val="24"/>
          <w:szCs w:val="24"/>
        </w:rPr>
        <w:t>зентации о работе с электронным каталогом и поиске нужной литературы; проведение ознакомительных экскурсий по историческим местам района Лефортово.</w:t>
      </w:r>
      <w:proofErr w:type="gramEnd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szCs w:val="24"/>
        </w:rPr>
      </w:pPr>
      <w:bookmarkStart w:id="1" w:name="_Toc7621096"/>
      <w:r w:rsidRPr="00503161">
        <w:rPr>
          <w:szCs w:val="24"/>
        </w:rPr>
        <w:t xml:space="preserve">Учебная </w:t>
      </w:r>
      <w:r w:rsidRPr="00503161">
        <w:rPr>
          <w:szCs w:val="24"/>
        </w:rPr>
        <w:t>практика</w:t>
      </w:r>
      <w:r w:rsidRPr="00503161">
        <w:rPr>
          <w:szCs w:val="24"/>
        </w:rPr>
        <w:t xml:space="preserve"> 2 – Б</w:t>
      </w:r>
      <w:proofErr w:type="gramStart"/>
      <w:r w:rsidRPr="00503161">
        <w:rPr>
          <w:szCs w:val="24"/>
        </w:rPr>
        <w:t>2</w:t>
      </w:r>
      <w:proofErr w:type="gramEnd"/>
      <w:r w:rsidRPr="00503161">
        <w:rPr>
          <w:szCs w:val="24"/>
        </w:rPr>
        <w:t>.У.2</w:t>
      </w:r>
      <w:bookmarkEnd w:id="1"/>
    </w:p>
    <w:p w:rsidR="008A58E5" w:rsidRPr="00503161" w:rsidRDefault="008A58E5" w:rsidP="00503161">
      <w:pPr>
        <w:spacing w:line="360" w:lineRule="auto"/>
        <w:ind w:firstLine="709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Цель практики</w:t>
      </w:r>
      <w:r w:rsidRPr="00503161">
        <w:rPr>
          <w:sz w:val="24"/>
          <w:szCs w:val="24"/>
        </w:rPr>
        <w:t xml:space="preserve">: </w:t>
      </w:r>
      <w:r w:rsidRPr="00503161">
        <w:rPr>
          <w:rFonts w:eastAsia="Times New Roman"/>
          <w:sz w:val="24"/>
          <w:szCs w:val="24"/>
        </w:rPr>
        <w:t>изучение методики разработки алгоритмов решения различных з</w:t>
      </w:r>
      <w:r w:rsidRPr="00503161">
        <w:rPr>
          <w:rFonts w:eastAsia="Times New Roman"/>
          <w:sz w:val="24"/>
          <w:szCs w:val="24"/>
        </w:rPr>
        <w:t>а</w:t>
      </w:r>
      <w:r w:rsidRPr="00503161">
        <w:rPr>
          <w:rFonts w:eastAsia="Times New Roman"/>
          <w:sz w:val="24"/>
          <w:szCs w:val="24"/>
        </w:rPr>
        <w:t>дач и написания программ для их реализации на языке высокого уровня</w:t>
      </w:r>
      <w:proofErr w:type="gramStart"/>
      <w:r w:rsidRPr="00503161">
        <w:rPr>
          <w:rFonts w:eastAsia="Times New Roman"/>
          <w:sz w:val="24"/>
          <w:szCs w:val="24"/>
        </w:rPr>
        <w:t xml:space="preserve"> С</w:t>
      </w:r>
      <w:proofErr w:type="gramEnd"/>
      <w:r w:rsidRPr="00503161">
        <w:rPr>
          <w:rFonts w:eastAsia="Times New Roman"/>
          <w:sz w:val="24"/>
          <w:szCs w:val="24"/>
        </w:rPr>
        <w:t>++ в среде виз</w:t>
      </w:r>
      <w:r w:rsidRPr="00503161">
        <w:rPr>
          <w:rFonts w:eastAsia="Times New Roman"/>
          <w:sz w:val="24"/>
          <w:szCs w:val="24"/>
        </w:rPr>
        <w:t>у</w:t>
      </w:r>
      <w:r w:rsidRPr="00503161">
        <w:rPr>
          <w:rFonts w:eastAsia="Times New Roman"/>
          <w:sz w:val="24"/>
          <w:szCs w:val="24"/>
        </w:rPr>
        <w:t xml:space="preserve">альной разработки пользовательских программных интерфейсов С++ </w:t>
      </w:r>
      <w:r w:rsidRPr="00503161">
        <w:rPr>
          <w:rFonts w:eastAsia="Times New Roman"/>
          <w:sz w:val="24"/>
          <w:szCs w:val="24"/>
          <w:lang w:val="en-US"/>
        </w:rPr>
        <w:t>Builder</w:t>
      </w:r>
      <w:r w:rsidRPr="00503161">
        <w:rPr>
          <w:rFonts w:eastAsia="Times New Roman"/>
          <w:sz w:val="24"/>
          <w:szCs w:val="24"/>
        </w:rPr>
        <w:t>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sz w:val="24"/>
          <w:szCs w:val="24"/>
        </w:rPr>
        <w:t>учебная практика блока 2 «Практики, в том числе научно-исследовательская работа (НИР)» подготовки специалистов по специальн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 xml:space="preserve">сти </w:t>
      </w:r>
      <w:r w:rsidRPr="00503161">
        <w:rPr>
          <w:color w:val="000000"/>
          <w:sz w:val="24"/>
          <w:szCs w:val="24"/>
          <w:shd w:val="clear" w:color="auto" w:fill="FFFFFF"/>
        </w:rPr>
        <w:t>11.05.01</w:t>
      </w:r>
      <w:r w:rsidRPr="00503161">
        <w:rPr>
          <w:color w:val="000000"/>
          <w:sz w:val="24"/>
          <w:szCs w:val="24"/>
        </w:rPr>
        <w:t xml:space="preserve"> </w:t>
      </w:r>
      <w:r w:rsidRPr="00503161">
        <w:rPr>
          <w:sz w:val="24"/>
          <w:szCs w:val="24"/>
        </w:rPr>
        <w:t>Радиоэлектронные системы и комплексы (специализация: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Радионавигацио</w:t>
      </w:r>
      <w:r w:rsidRPr="00503161">
        <w:rPr>
          <w:sz w:val="24"/>
          <w:szCs w:val="24"/>
        </w:rPr>
        <w:t>н</w:t>
      </w:r>
      <w:r w:rsidRPr="00503161">
        <w:rPr>
          <w:sz w:val="24"/>
          <w:szCs w:val="24"/>
        </w:rPr>
        <w:t>ные системы и комплексы).</w:t>
      </w:r>
      <w:proofErr w:type="gramEnd"/>
      <w:r w:rsidRPr="00503161">
        <w:rPr>
          <w:sz w:val="24"/>
          <w:szCs w:val="24"/>
        </w:rPr>
        <w:t xml:space="preserve"> Количество зачетных единиц – 2.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b/>
          <w:sz w:val="24"/>
          <w:szCs w:val="24"/>
        </w:rPr>
        <w:t>Содержание разделов:</w:t>
      </w:r>
      <w:r w:rsidRPr="00503161">
        <w:rPr>
          <w:sz w:val="24"/>
          <w:szCs w:val="24"/>
        </w:rPr>
        <w:t xml:space="preserve"> </w:t>
      </w:r>
      <w:r w:rsidRPr="00503161">
        <w:rPr>
          <w:rFonts w:eastAsia="Times New Roman"/>
          <w:sz w:val="24"/>
          <w:szCs w:val="24"/>
        </w:rPr>
        <w:t>овладение методикой разработки алгоритмов решения ра</w:t>
      </w:r>
      <w:r w:rsidRPr="00503161">
        <w:rPr>
          <w:rFonts w:eastAsia="Times New Roman"/>
          <w:sz w:val="24"/>
          <w:szCs w:val="24"/>
        </w:rPr>
        <w:t>з</w:t>
      </w:r>
      <w:r w:rsidRPr="00503161">
        <w:rPr>
          <w:rFonts w:eastAsia="Times New Roman"/>
          <w:sz w:val="24"/>
          <w:szCs w:val="24"/>
        </w:rPr>
        <w:t>личных задач; освоение языка программирования высокого уровня</w:t>
      </w:r>
      <w:proofErr w:type="gramStart"/>
      <w:r w:rsidRPr="00503161">
        <w:rPr>
          <w:rFonts w:eastAsia="Times New Roman"/>
          <w:sz w:val="24"/>
          <w:szCs w:val="24"/>
        </w:rPr>
        <w:t xml:space="preserve"> С</w:t>
      </w:r>
      <w:proofErr w:type="gramEnd"/>
      <w:r w:rsidRPr="00503161">
        <w:rPr>
          <w:rFonts w:eastAsia="Times New Roman"/>
          <w:sz w:val="24"/>
          <w:szCs w:val="24"/>
        </w:rPr>
        <w:t xml:space="preserve">++ и среды визуальной разработки пользовательских программных интерфейсов С++ </w:t>
      </w:r>
      <w:proofErr w:type="spellStart"/>
      <w:r w:rsidRPr="00503161">
        <w:rPr>
          <w:rFonts w:eastAsia="Times New Roman"/>
          <w:sz w:val="24"/>
          <w:szCs w:val="24"/>
        </w:rPr>
        <w:t>Builder</w:t>
      </w:r>
      <w:proofErr w:type="spellEnd"/>
      <w:r w:rsidRPr="00503161">
        <w:rPr>
          <w:rFonts w:eastAsia="Times New Roman"/>
          <w:sz w:val="24"/>
          <w:szCs w:val="24"/>
        </w:rPr>
        <w:t>; приобретение нав</w:t>
      </w:r>
      <w:r w:rsidRPr="00503161">
        <w:rPr>
          <w:rFonts w:eastAsia="Times New Roman"/>
          <w:sz w:val="24"/>
          <w:szCs w:val="24"/>
        </w:rPr>
        <w:t>ы</w:t>
      </w:r>
      <w:r w:rsidRPr="00503161">
        <w:rPr>
          <w:rFonts w:eastAsia="Times New Roman"/>
          <w:sz w:val="24"/>
          <w:szCs w:val="24"/>
        </w:rPr>
        <w:lastRenderedPageBreak/>
        <w:t>ков отладки и тестирования программ; приобретение навыков документирования разраб</w:t>
      </w:r>
      <w:r w:rsidRPr="00503161">
        <w:rPr>
          <w:rFonts w:eastAsia="Times New Roman"/>
          <w:sz w:val="24"/>
          <w:szCs w:val="24"/>
        </w:rPr>
        <w:t>а</w:t>
      </w:r>
      <w:r w:rsidRPr="00503161">
        <w:rPr>
          <w:rFonts w:eastAsia="Times New Roman"/>
          <w:sz w:val="24"/>
          <w:szCs w:val="24"/>
        </w:rPr>
        <w:t>тываемых алгоритмов и программ.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szCs w:val="24"/>
        </w:rPr>
      </w:pPr>
      <w:bookmarkStart w:id="2" w:name="_Toc7621097"/>
      <w:r w:rsidRPr="00503161">
        <w:rPr>
          <w:szCs w:val="24"/>
        </w:rPr>
        <w:t>Учебная практика 3 – Б</w:t>
      </w:r>
      <w:proofErr w:type="gramStart"/>
      <w:r w:rsidRPr="00503161">
        <w:rPr>
          <w:szCs w:val="24"/>
        </w:rPr>
        <w:t>2</w:t>
      </w:r>
      <w:proofErr w:type="gramEnd"/>
      <w:r w:rsidRPr="00503161">
        <w:rPr>
          <w:szCs w:val="24"/>
        </w:rPr>
        <w:t>.У.3</w:t>
      </w:r>
      <w:bookmarkEnd w:id="2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b/>
          <w:sz w:val="24"/>
          <w:szCs w:val="24"/>
        </w:rPr>
        <w:t xml:space="preserve">Целью </w:t>
      </w:r>
      <w:r w:rsidRPr="00503161">
        <w:rPr>
          <w:sz w:val="24"/>
          <w:szCs w:val="24"/>
        </w:rPr>
        <w:t xml:space="preserve">учебной практики является </w:t>
      </w:r>
      <w:r w:rsidRPr="00503161">
        <w:rPr>
          <w:rFonts w:eastAsia="Times New Roman"/>
          <w:sz w:val="24"/>
          <w:szCs w:val="24"/>
        </w:rPr>
        <w:t>знакомство с деятельностью кафедр радиотехн</w:t>
      </w:r>
      <w:r w:rsidRPr="00503161">
        <w:rPr>
          <w:rFonts w:eastAsia="Times New Roman"/>
          <w:sz w:val="24"/>
          <w:szCs w:val="24"/>
        </w:rPr>
        <w:t>и</w:t>
      </w:r>
      <w:r w:rsidRPr="00503161">
        <w:rPr>
          <w:rFonts w:eastAsia="Times New Roman"/>
          <w:sz w:val="24"/>
          <w:szCs w:val="24"/>
        </w:rPr>
        <w:t>ческого факультета (РТФ).</w:t>
      </w:r>
    </w:p>
    <w:p w:rsidR="008A58E5" w:rsidRPr="00503161" w:rsidRDefault="008A58E5" w:rsidP="00503161">
      <w:pPr>
        <w:spacing w:line="360" w:lineRule="auto"/>
        <w:ind w:firstLine="709"/>
        <w:rPr>
          <w:color w:val="333333"/>
          <w:sz w:val="24"/>
          <w:szCs w:val="24"/>
          <w:shd w:val="clear" w:color="auto" w:fill="FFFFFF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color w:val="000000"/>
          <w:sz w:val="24"/>
          <w:szCs w:val="24"/>
        </w:rPr>
        <w:t>учебная практика</w:t>
      </w:r>
      <w:r w:rsidRPr="00503161">
        <w:rPr>
          <w:sz w:val="24"/>
          <w:szCs w:val="24"/>
        </w:rPr>
        <w:t xml:space="preserve"> блока 2 «Практики, в том числе научно-исследовательская работа (НИР)» </w:t>
      </w:r>
      <w:r w:rsidRPr="00503161">
        <w:rPr>
          <w:color w:val="333333"/>
          <w:sz w:val="24"/>
          <w:szCs w:val="24"/>
          <w:shd w:val="clear" w:color="auto" w:fill="FFFFFF"/>
        </w:rPr>
        <w:t xml:space="preserve">по специальности подготовки </w:t>
      </w:r>
      <w:proofErr w:type="spellStart"/>
      <w:r w:rsidRPr="00503161">
        <w:rPr>
          <w:color w:val="333333"/>
          <w:sz w:val="24"/>
          <w:szCs w:val="24"/>
          <w:shd w:val="clear" w:color="auto" w:fill="FFFFFF"/>
        </w:rPr>
        <w:t>специалитета</w:t>
      </w:r>
      <w:proofErr w:type="spellEnd"/>
      <w:r w:rsidRPr="00503161">
        <w:rPr>
          <w:color w:val="333333"/>
          <w:sz w:val="24"/>
          <w:szCs w:val="24"/>
          <w:shd w:val="clear" w:color="auto" w:fill="FFFFFF"/>
        </w:rPr>
        <w:t xml:space="preserve"> 11.05.01</w:t>
      </w:r>
      <w:r w:rsidRPr="00503161">
        <w:rPr>
          <w:color w:val="000000"/>
          <w:sz w:val="24"/>
          <w:szCs w:val="24"/>
        </w:rPr>
        <w:t xml:space="preserve"> «Радиоэлектронные системы и комплексы»</w:t>
      </w:r>
      <w:r w:rsidRPr="00503161">
        <w:rPr>
          <w:color w:val="333333"/>
          <w:sz w:val="24"/>
          <w:szCs w:val="24"/>
          <w:shd w:val="clear" w:color="auto" w:fill="FFFFFF"/>
        </w:rPr>
        <w:t xml:space="preserve"> (специализация:</w:t>
      </w:r>
      <w:proofErr w:type="gramEnd"/>
      <w:r w:rsidRPr="00503161">
        <w:rPr>
          <w:color w:val="000000"/>
          <w:sz w:val="24"/>
          <w:szCs w:val="24"/>
        </w:rPr>
        <w:t xml:space="preserve"> </w:t>
      </w:r>
      <w:proofErr w:type="gramStart"/>
      <w:r w:rsidRPr="00503161">
        <w:rPr>
          <w:color w:val="000000"/>
          <w:sz w:val="24"/>
          <w:szCs w:val="24"/>
        </w:rPr>
        <w:t>Радионавигационные системы и комплексы</w:t>
      </w:r>
      <w:r w:rsidRPr="00503161">
        <w:rPr>
          <w:color w:val="333333"/>
          <w:sz w:val="24"/>
          <w:szCs w:val="24"/>
          <w:shd w:val="clear" w:color="auto" w:fill="FFFFFF"/>
        </w:rPr>
        <w:t>).</w:t>
      </w:r>
      <w:proofErr w:type="gramEnd"/>
      <w:r w:rsidRPr="00503161">
        <w:rPr>
          <w:color w:val="333333"/>
          <w:sz w:val="24"/>
          <w:szCs w:val="24"/>
          <w:shd w:val="clear" w:color="auto" w:fill="FFFFFF"/>
        </w:rPr>
        <w:t xml:space="preserve"> Количество зачетных единиц – 1.</w:t>
      </w:r>
    </w:p>
    <w:p w:rsidR="008A58E5" w:rsidRPr="00503161" w:rsidRDefault="008A58E5" w:rsidP="00503161">
      <w:pPr>
        <w:tabs>
          <w:tab w:val="right" w:leader="underscore" w:pos="8505"/>
        </w:tabs>
        <w:spacing w:line="360" w:lineRule="auto"/>
        <w:ind w:firstLine="709"/>
        <w:rPr>
          <w:sz w:val="24"/>
          <w:szCs w:val="24"/>
        </w:rPr>
      </w:pPr>
      <w:r w:rsidRPr="00503161">
        <w:rPr>
          <w:b/>
          <w:bCs/>
          <w:sz w:val="24"/>
          <w:szCs w:val="24"/>
        </w:rPr>
        <w:t xml:space="preserve">Задачами </w:t>
      </w:r>
      <w:r w:rsidRPr="00503161">
        <w:rPr>
          <w:b/>
          <w:sz w:val="24"/>
          <w:szCs w:val="24"/>
        </w:rPr>
        <w:t>учебной</w:t>
      </w:r>
      <w:r w:rsidRPr="00503161">
        <w:rPr>
          <w:b/>
          <w:bCs/>
          <w:sz w:val="24"/>
          <w:szCs w:val="24"/>
        </w:rPr>
        <w:t xml:space="preserve"> практики являются: </w:t>
      </w:r>
      <w:r w:rsidRPr="00503161">
        <w:rPr>
          <w:bCs/>
          <w:sz w:val="24"/>
          <w:szCs w:val="24"/>
        </w:rPr>
        <w:t>и</w:t>
      </w:r>
      <w:r w:rsidRPr="00503161">
        <w:rPr>
          <w:sz w:val="24"/>
          <w:szCs w:val="24"/>
        </w:rPr>
        <w:t>стория факультета, традиции и организ</w:t>
      </w:r>
      <w:r w:rsidRPr="00503161">
        <w:rPr>
          <w:sz w:val="24"/>
          <w:szCs w:val="24"/>
        </w:rPr>
        <w:t>а</w:t>
      </w:r>
      <w:r w:rsidRPr="00503161">
        <w:rPr>
          <w:sz w:val="24"/>
          <w:szCs w:val="24"/>
        </w:rPr>
        <w:t xml:space="preserve">ция учебного процесса. Радиоэлектронные системы – основные направления и тенденции развития. Структура направления подготовки специалистов 11.05.01 </w:t>
      </w:r>
      <w:r w:rsidRPr="00503161">
        <w:rPr>
          <w:iCs/>
          <w:sz w:val="24"/>
          <w:szCs w:val="24"/>
        </w:rPr>
        <w:t>Радиоэлектронные с</w:t>
      </w:r>
      <w:r w:rsidRPr="00503161">
        <w:rPr>
          <w:iCs/>
          <w:sz w:val="24"/>
          <w:szCs w:val="24"/>
        </w:rPr>
        <w:t>и</w:t>
      </w:r>
      <w:r w:rsidRPr="00503161">
        <w:rPr>
          <w:iCs/>
          <w:sz w:val="24"/>
          <w:szCs w:val="24"/>
        </w:rPr>
        <w:t>стемы и комплексы</w:t>
      </w:r>
      <w:r w:rsidRPr="00503161">
        <w:rPr>
          <w:sz w:val="24"/>
          <w:szCs w:val="24"/>
        </w:rPr>
        <w:t>: объекты профессиональной деятельности, виды деятельности, напра</w:t>
      </w:r>
      <w:r w:rsidRPr="00503161">
        <w:rPr>
          <w:sz w:val="24"/>
          <w:szCs w:val="24"/>
        </w:rPr>
        <w:t>в</w:t>
      </w:r>
      <w:r w:rsidRPr="00503161">
        <w:rPr>
          <w:sz w:val="24"/>
          <w:szCs w:val="24"/>
        </w:rPr>
        <w:t>ление подготовки и кафедры РТФ его реализующие. История, организационная структура и основные направления деятельности кафедры. Учебная работа: основные профессионал</w:t>
      </w:r>
      <w:r w:rsidRPr="00503161">
        <w:rPr>
          <w:sz w:val="24"/>
          <w:szCs w:val="24"/>
        </w:rPr>
        <w:t>ь</w:t>
      </w:r>
      <w:r w:rsidRPr="00503161">
        <w:rPr>
          <w:sz w:val="24"/>
          <w:szCs w:val="24"/>
        </w:rPr>
        <w:t>ные компетенции, приобретаемые выпускниками по освоению ОПОП, реализуемой кафе</w:t>
      </w:r>
      <w:r w:rsidRPr="00503161">
        <w:rPr>
          <w:sz w:val="24"/>
          <w:szCs w:val="24"/>
        </w:rPr>
        <w:t>д</w:t>
      </w:r>
      <w:r w:rsidRPr="00503161">
        <w:rPr>
          <w:sz w:val="24"/>
          <w:szCs w:val="24"/>
        </w:rPr>
        <w:t>рой. Возможности продолжения обучения в аспирантуре. Трудоустройство выпускников. Ведущие регионал</w:t>
      </w:r>
      <w:r w:rsidRPr="00503161">
        <w:rPr>
          <w:sz w:val="24"/>
          <w:szCs w:val="24"/>
        </w:rPr>
        <w:t>ь</w:t>
      </w:r>
      <w:r w:rsidRPr="00503161">
        <w:rPr>
          <w:sz w:val="24"/>
          <w:szCs w:val="24"/>
        </w:rPr>
        <w:t>ные компании и предприятия отрасли. Представление материально-технических условий, информационного и кадрового обеспечения образовательного пр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>цесса на кафе</w:t>
      </w:r>
      <w:r w:rsidRPr="00503161">
        <w:rPr>
          <w:sz w:val="24"/>
          <w:szCs w:val="24"/>
        </w:rPr>
        <w:t>д</w:t>
      </w:r>
      <w:r w:rsidRPr="00503161">
        <w:rPr>
          <w:sz w:val="24"/>
          <w:szCs w:val="24"/>
        </w:rPr>
        <w:t>ре. Направления исследований кафедры.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rFonts w:eastAsia="Calibri"/>
          <w:szCs w:val="24"/>
        </w:rPr>
      </w:pPr>
      <w:bookmarkStart w:id="3" w:name="_Toc7621098"/>
      <w:r w:rsidRPr="00503161">
        <w:rPr>
          <w:szCs w:val="24"/>
        </w:rPr>
        <w:t>Н</w:t>
      </w:r>
      <w:r w:rsidRPr="00503161">
        <w:rPr>
          <w:rFonts w:eastAsia="Calibri"/>
          <w:szCs w:val="24"/>
        </w:rPr>
        <w:t>аучно-исследовательск</w:t>
      </w:r>
      <w:r w:rsidRPr="00503161">
        <w:rPr>
          <w:szCs w:val="24"/>
        </w:rPr>
        <w:t>ая</w:t>
      </w:r>
      <w:r w:rsidRPr="00503161">
        <w:rPr>
          <w:rFonts w:eastAsia="Calibri"/>
          <w:szCs w:val="24"/>
        </w:rPr>
        <w:t xml:space="preserve"> работ</w:t>
      </w:r>
      <w:r w:rsidRPr="00503161">
        <w:rPr>
          <w:szCs w:val="24"/>
        </w:rPr>
        <w:t>а</w:t>
      </w:r>
      <w:r w:rsidRPr="00503161">
        <w:rPr>
          <w:rFonts w:eastAsia="Calibri"/>
          <w:szCs w:val="24"/>
        </w:rPr>
        <w:t xml:space="preserve"> – Б</w:t>
      </w:r>
      <w:proofErr w:type="gramStart"/>
      <w:r w:rsidRPr="00503161">
        <w:rPr>
          <w:rFonts w:eastAsia="Calibri"/>
          <w:szCs w:val="24"/>
        </w:rPr>
        <w:t>2</w:t>
      </w:r>
      <w:proofErr w:type="gramEnd"/>
      <w:r w:rsidRPr="00503161">
        <w:rPr>
          <w:rFonts w:eastAsia="Calibri"/>
          <w:szCs w:val="24"/>
        </w:rPr>
        <w:t>.Н.1</w:t>
      </w:r>
      <w:bookmarkEnd w:id="3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>Цель научно-исследовательской работы:</w:t>
      </w:r>
      <w:r w:rsidRPr="00503161">
        <w:rPr>
          <w:sz w:val="24"/>
          <w:szCs w:val="24"/>
        </w:rPr>
        <w:t xml:space="preserve"> закрепление и углубление теоретических знаний, полученных при изучении базовых дисциплин основной профессиональной образ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 xml:space="preserve">вательной программы (ОПОП) подготовки </w:t>
      </w:r>
      <w:r w:rsidRPr="00503161">
        <w:rPr>
          <w:sz w:val="24"/>
          <w:szCs w:val="24"/>
        </w:rPr>
        <w:t>специалистов</w:t>
      </w:r>
      <w:r w:rsidRPr="00503161">
        <w:rPr>
          <w:sz w:val="24"/>
          <w:szCs w:val="24"/>
        </w:rPr>
        <w:t>, приобретение практических ум</w:t>
      </w:r>
      <w:r w:rsidRPr="00503161">
        <w:rPr>
          <w:sz w:val="24"/>
          <w:szCs w:val="24"/>
        </w:rPr>
        <w:t>е</w:t>
      </w:r>
      <w:r w:rsidRPr="00503161">
        <w:rPr>
          <w:sz w:val="24"/>
          <w:szCs w:val="24"/>
        </w:rPr>
        <w:t>ний и навыков в сфере профессиональной деятельности; получение опыта самостоятельной научно-исследовательской деятельности; формирование у обучающихся понимания видов и объе</w:t>
      </w:r>
      <w:r w:rsidRPr="00503161">
        <w:rPr>
          <w:sz w:val="24"/>
          <w:szCs w:val="24"/>
        </w:rPr>
        <w:t>к</w:t>
      </w:r>
      <w:r w:rsidRPr="00503161">
        <w:rPr>
          <w:sz w:val="24"/>
          <w:szCs w:val="24"/>
        </w:rPr>
        <w:t>тов профессиональной деятельности.</w:t>
      </w:r>
      <w:proofErr w:type="gramEnd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sz w:val="24"/>
          <w:szCs w:val="24"/>
        </w:rPr>
        <w:t xml:space="preserve">научно-исследовательская работа блока 2 «Практики, в том числе научно-исследовательская работа (НИР)» подготовки специалистов по специальности </w:t>
      </w:r>
      <w:r w:rsidRPr="00503161">
        <w:rPr>
          <w:color w:val="000000"/>
          <w:sz w:val="24"/>
          <w:szCs w:val="24"/>
          <w:shd w:val="clear" w:color="auto" w:fill="FFFFFF"/>
        </w:rPr>
        <w:t>11.05.01</w:t>
      </w:r>
      <w:r w:rsidRPr="00503161">
        <w:rPr>
          <w:color w:val="000000"/>
          <w:sz w:val="24"/>
          <w:szCs w:val="24"/>
        </w:rPr>
        <w:t xml:space="preserve"> </w:t>
      </w:r>
      <w:r w:rsidRPr="00503161">
        <w:rPr>
          <w:sz w:val="24"/>
          <w:szCs w:val="24"/>
        </w:rPr>
        <w:t>Радиоэлектронные системы и комплексы (специализация: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Рад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онавигационные системы и комплексы).</w:t>
      </w:r>
      <w:proofErr w:type="gramEnd"/>
      <w:r w:rsidRPr="00503161">
        <w:rPr>
          <w:sz w:val="24"/>
          <w:szCs w:val="24"/>
        </w:rPr>
        <w:t xml:space="preserve"> Количество зачетных единиц – 38.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b/>
          <w:sz w:val="24"/>
          <w:szCs w:val="24"/>
        </w:rPr>
        <w:lastRenderedPageBreak/>
        <w:t>Содержание разделов:</w:t>
      </w:r>
      <w:r w:rsidRPr="00503161">
        <w:rPr>
          <w:sz w:val="24"/>
          <w:szCs w:val="24"/>
        </w:rPr>
        <w:t xml:space="preserve"> </w:t>
      </w:r>
      <w:r w:rsidRPr="00503161">
        <w:rPr>
          <w:iCs/>
          <w:sz w:val="24"/>
          <w:szCs w:val="24"/>
        </w:rPr>
        <w:t xml:space="preserve">Подготовительный этап: </w:t>
      </w:r>
      <w:r w:rsidRPr="00503161">
        <w:rPr>
          <w:sz w:val="24"/>
          <w:szCs w:val="24"/>
        </w:rPr>
        <w:t>Получение инструкций от руков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>дителя НИР по порядку проведения НИР, постановка задач НИР и информирование о тр</w:t>
      </w:r>
      <w:r w:rsidRPr="00503161">
        <w:rPr>
          <w:sz w:val="24"/>
          <w:szCs w:val="24"/>
        </w:rPr>
        <w:t>е</w:t>
      </w:r>
      <w:r w:rsidRPr="00503161">
        <w:rPr>
          <w:sz w:val="24"/>
          <w:szCs w:val="24"/>
        </w:rPr>
        <w:t xml:space="preserve">бованиях к содержанию и оформлению отчета по НИР. </w:t>
      </w:r>
      <w:r w:rsidRPr="00503161">
        <w:rPr>
          <w:iCs/>
          <w:sz w:val="24"/>
          <w:szCs w:val="24"/>
        </w:rPr>
        <w:t xml:space="preserve">Основной этап: </w:t>
      </w:r>
      <w:r w:rsidRPr="00503161">
        <w:rPr>
          <w:sz w:val="24"/>
          <w:szCs w:val="24"/>
        </w:rPr>
        <w:t>Составление плана исследования, проведение обзора источников по теме, выполнение работы Самостоятел</w:t>
      </w:r>
      <w:r w:rsidRPr="00503161">
        <w:rPr>
          <w:sz w:val="24"/>
          <w:szCs w:val="24"/>
        </w:rPr>
        <w:t>ь</w:t>
      </w:r>
      <w:r w:rsidRPr="00503161">
        <w:rPr>
          <w:sz w:val="24"/>
          <w:szCs w:val="24"/>
        </w:rPr>
        <w:t xml:space="preserve">ная работа под руководством преподавателя (руководителя практики). </w:t>
      </w:r>
      <w:r w:rsidRPr="00503161">
        <w:rPr>
          <w:iCs/>
          <w:sz w:val="24"/>
          <w:szCs w:val="24"/>
        </w:rPr>
        <w:t xml:space="preserve">Отчетный этап: </w:t>
      </w:r>
      <w:r w:rsidRPr="00503161">
        <w:rPr>
          <w:sz w:val="24"/>
          <w:szCs w:val="24"/>
        </w:rPr>
        <w:t>По</w:t>
      </w:r>
      <w:r w:rsidRPr="00503161">
        <w:rPr>
          <w:sz w:val="24"/>
          <w:szCs w:val="24"/>
        </w:rPr>
        <w:t>д</w:t>
      </w:r>
      <w:r w:rsidRPr="00503161">
        <w:rPr>
          <w:sz w:val="24"/>
          <w:szCs w:val="24"/>
        </w:rPr>
        <w:t>готовка отчета и презентации к защите.</w:t>
      </w:r>
    </w:p>
    <w:p w:rsidR="008A58E5" w:rsidRPr="00503161" w:rsidRDefault="008A58E5" w:rsidP="00503161">
      <w:pPr>
        <w:spacing w:line="360" w:lineRule="auto"/>
        <w:jc w:val="center"/>
        <w:rPr>
          <w:b/>
          <w:sz w:val="24"/>
          <w:szCs w:val="24"/>
        </w:rPr>
      </w:pP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rFonts w:eastAsia="Calibri"/>
          <w:szCs w:val="24"/>
        </w:rPr>
      </w:pPr>
      <w:bookmarkStart w:id="4" w:name="_Toc7621099"/>
      <w:r w:rsidRPr="00503161">
        <w:rPr>
          <w:szCs w:val="24"/>
        </w:rPr>
        <w:t>П</w:t>
      </w:r>
      <w:r w:rsidRPr="00503161">
        <w:rPr>
          <w:rFonts w:eastAsia="Calibri"/>
          <w:szCs w:val="24"/>
        </w:rPr>
        <w:t>роизводственн</w:t>
      </w:r>
      <w:r w:rsidRPr="00503161">
        <w:rPr>
          <w:szCs w:val="24"/>
        </w:rPr>
        <w:t>ая</w:t>
      </w:r>
      <w:r w:rsidRPr="00503161">
        <w:rPr>
          <w:rFonts w:eastAsia="Calibri"/>
          <w:szCs w:val="24"/>
        </w:rPr>
        <w:t xml:space="preserve"> практик</w:t>
      </w:r>
      <w:r w:rsidRPr="00503161">
        <w:rPr>
          <w:szCs w:val="24"/>
        </w:rPr>
        <w:t>а</w:t>
      </w:r>
      <w:r w:rsidRPr="00503161">
        <w:rPr>
          <w:rFonts w:eastAsia="Calibri"/>
          <w:szCs w:val="24"/>
        </w:rPr>
        <w:t xml:space="preserve"> – Б</w:t>
      </w:r>
      <w:proofErr w:type="gramStart"/>
      <w:r w:rsidRPr="00503161">
        <w:rPr>
          <w:rFonts w:eastAsia="Calibri"/>
          <w:szCs w:val="24"/>
        </w:rPr>
        <w:t>2</w:t>
      </w:r>
      <w:proofErr w:type="gramEnd"/>
      <w:r w:rsidRPr="00503161">
        <w:rPr>
          <w:rFonts w:eastAsia="Calibri"/>
          <w:szCs w:val="24"/>
        </w:rPr>
        <w:t>.П.1</w:t>
      </w:r>
      <w:bookmarkEnd w:id="4"/>
    </w:p>
    <w:p w:rsidR="008A58E5" w:rsidRPr="00503161" w:rsidRDefault="008A58E5" w:rsidP="00503161">
      <w:pPr>
        <w:spacing w:line="360" w:lineRule="auto"/>
        <w:ind w:firstLine="709"/>
        <w:rPr>
          <w:b/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>Цель практики</w:t>
      </w:r>
      <w:r w:rsidRPr="00503161">
        <w:rPr>
          <w:sz w:val="24"/>
          <w:szCs w:val="24"/>
        </w:rPr>
        <w:t>: закрепление и углубление теоретической подготовки, приобрет</w:t>
      </w:r>
      <w:r w:rsidRPr="00503161">
        <w:rPr>
          <w:sz w:val="24"/>
          <w:szCs w:val="24"/>
        </w:rPr>
        <w:t>е</w:t>
      </w:r>
      <w:r w:rsidRPr="00503161">
        <w:rPr>
          <w:sz w:val="24"/>
          <w:szCs w:val="24"/>
        </w:rPr>
        <w:t>ние практических навыков, практическом применении теоретических знаний по професс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ональным дисциплинам, изучению технологического режима работы компании или пре</w:t>
      </w:r>
      <w:r w:rsidRPr="00503161">
        <w:rPr>
          <w:sz w:val="24"/>
          <w:szCs w:val="24"/>
        </w:rPr>
        <w:t>д</w:t>
      </w:r>
      <w:r w:rsidRPr="00503161">
        <w:rPr>
          <w:sz w:val="24"/>
          <w:szCs w:val="24"/>
        </w:rPr>
        <w:t>приятий отрасли, которое является базой производственной практики,  получение опыта самостоятельной профессиональной деятельности, а также изучение методов защиты пр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>изводственного персонала и населения от возможных последствий аварий, катастроф, ст</w:t>
      </w:r>
      <w:r w:rsidRPr="00503161">
        <w:rPr>
          <w:sz w:val="24"/>
          <w:szCs w:val="24"/>
        </w:rPr>
        <w:t>и</w:t>
      </w:r>
      <w:r w:rsidRPr="00503161">
        <w:rPr>
          <w:sz w:val="24"/>
          <w:szCs w:val="24"/>
        </w:rPr>
        <w:t>хийных бедствий.</w:t>
      </w:r>
      <w:proofErr w:type="gramEnd"/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sz w:val="24"/>
          <w:szCs w:val="24"/>
        </w:rPr>
        <w:t>производственная практика блока 2 «Пра</w:t>
      </w:r>
      <w:r w:rsidRPr="00503161">
        <w:rPr>
          <w:sz w:val="24"/>
          <w:szCs w:val="24"/>
        </w:rPr>
        <w:t>к</w:t>
      </w:r>
      <w:r w:rsidRPr="00503161">
        <w:rPr>
          <w:sz w:val="24"/>
          <w:szCs w:val="24"/>
        </w:rPr>
        <w:t xml:space="preserve">тики, в том числе научно-исследовательская работа (НИР)» подготовки специалистов по специальности </w:t>
      </w:r>
      <w:r w:rsidRPr="00503161">
        <w:rPr>
          <w:color w:val="000000"/>
          <w:sz w:val="24"/>
          <w:szCs w:val="24"/>
          <w:shd w:val="clear" w:color="auto" w:fill="FFFFFF"/>
        </w:rPr>
        <w:t>11.05.01</w:t>
      </w:r>
      <w:r w:rsidRPr="00503161">
        <w:rPr>
          <w:color w:val="000000"/>
          <w:sz w:val="24"/>
          <w:szCs w:val="24"/>
        </w:rPr>
        <w:t xml:space="preserve"> </w:t>
      </w:r>
      <w:r w:rsidRPr="00503161">
        <w:rPr>
          <w:sz w:val="24"/>
          <w:szCs w:val="24"/>
        </w:rPr>
        <w:t>Радиоэлектронные системы и комплексы (специализация: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Радион</w:t>
      </w:r>
      <w:r w:rsidRPr="00503161">
        <w:rPr>
          <w:sz w:val="24"/>
          <w:szCs w:val="24"/>
        </w:rPr>
        <w:t>а</w:t>
      </w:r>
      <w:r w:rsidRPr="00503161">
        <w:rPr>
          <w:sz w:val="24"/>
          <w:szCs w:val="24"/>
        </w:rPr>
        <w:t>вигационные системы и комплексы).</w:t>
      </w:r>
      <w:proofErr w:type="gramEnd"/>
      <w:r w:rsidRPr="00503161">
        <w:rPr>
          <w:sz w:val="24"/>
          <w:szCs w:val="24"/>
        </w:rPr>
        <w:t xml:space="preserve"> Количество зачетных единиц – 6.</w:t>
      </w:r>
    </w:p>
    <w:p w:rsidR="008A58E5" w:rsidRPr="00503161" w:rsidRDefault="008A58E5" w:rsidP="00503161">
      <w:pPr>
        <w:spacing w:line="360" w:lineRule="auto"/>
        <w:ind w:firstLine="709"/>
        <w:rPr>
          <w:rStyle w:val="14"/>
          <w:rFonts w:eastAsia="Courier New"/>
          <w:i w:val="0"/>
          <w:sz w:val="24"/>
          <w:szCs w:val="24"/>
        </w:rPr>
      </w:pPr>
      <w:r w:rsidRPr="00503161">
        <w:rPr>
          <w:b/>
          <w:sz w:val="24"/>
          <w:szCs w:val="24"/>
        </w:rPr>
        <w:t>Содержание разделов:</w:t>
      </w:r>
      <w:r w:rsidRPr="00503161">
        <w:rPr>
          <w:sz w:val="24"/>
          <w:szCs w:val="24"/>
        </w:rPr>
        <w:t xml:space="preserve"> </w:t>
      </w:r>
      <w:r w:rsidRPr="00503161">
        <w:rPr>
          <w:rStyle w:val="14"/>
          <w:rFonts w:eastAsia="Courier New"/>
          <w:i w:val="0"/>
          <w:sz w:val="24"/>
          <w:szCs w:val="24"/>
        </w:rPr>
        <w:t>Подготовительный этап: и</w:t>
      </w:r>
      <w:r w:rsidRPr="00503161">
        <w:rPr>
          <w:sz w:val="24"/>
          <w:szCs w:val="24"/>
        </w:rPr>
        <w:t>нструктаж по программе прои</w:t>
      </w:r>
      <w:r w:rsidRPr="00503161">
        <w:rPr>
          <w:sz w:val="24"/>
          <w:szCs w:val="24"/>
        </w:rPr>
        <w:t>з</w:t>
      </w:r>
      <w:r w:rsidRPr="00503161">
        <w:rPr>
          <w:sz w:val="24"/>
          <w:szCs w:val="24"/>
        </w:rPr>
        <w:t>водственной практики, подготовке отчета и процедуре защиты (на кафедре); инстру</w:t>
      </w:r>
      <w:r w:rsidRPr="00503161">
        <w:rPr>
          <w:sz w:val="24"/>
          <w:szCs w:val="24"/>
        </w:rPr>
        <w:t>к</w:t>
      </w:r>
      <w:r w:rsidRPr="00503161">
        <w:rPr>
          <w:sz w:val="24"/>
          <w:szCs w:val="24"/>
        </w:rPr>
        <w:t xml:space="preserve">таж по технике безопасности (на предприятии). </w:t>
      </w:r>
      <w:r w:rsidRPr="00503161">
        <w:rPr>
          <w:rStyle w:val="14"/>
          <w:rFonts w:eastAsia="Courier New"/>
          <w:i w:val="0"/>
          <w:sz w:val="24"/>
          <w:szCs w:val="24"/>
        </w:rPr>
        <w:t xml:space="preserve">Рабочий этап: </w:t>
      </w:r>
      <w:r w:rsidRPr="00503161">
        <w:rPr>
          <w:rStyle w:val="14"/>
          <w:rFonts w:eastAsia="Courier New"/>
          <w:sz w:val="24"/>
          <w:szCs w:val="24"/>
        </w:rPr>
        <w:t>з</w:t>
      </w:r>
      <w:r w:rsidRPr="00503161">
        <w:rPr>
          <w:sz w:val="24"/>
          <w:szCs w:val="24"/>
        </w:rPr>
        <w:t>накомство с базой производстве</w:t>
      </w:r>
      <w:r w:rsidRPr="00503161">
        <w:rPr>
          <w:sz w:val="24"/>
          <w:szCs w:val="24"/>
        </w:rPr>
        <w:t>н</w:t>
      </w:r>
      <w:r w:rsidRPr="00503161">
        <w:rPr>
          <w:sz w:val="24"/>
          <w:szCs w:val="24"/>
        </w:rPr>
        <w:t>ной практики; получение индивидуального задания, выполнение индивидуального задания</w:t>
      </w:r>
      <w:r w:rsidRPr="00503161">
        <w:rPr>
          <w:i/>
          <w:sz w:val="24"/>
          <w:szCs w:val="24"/>
        </w:rPr>
        <w:t xml:space="preserve">. </w:t>
      </w:r>
      <w:r w:rsidRPr="00503161">
        <w:rPr>
          <w:rStyle w:val="14"/>
          <w:rFonts w:eastAsia="Courier New"/>
          <w:i w:val="0"/>
          <w:sz w:val="24"/>
          <w:szCs w:val="24"/>
        </w:rPr>
        <w:t>Отчетный этап: Подготовка отчета и презентации к защите.</w:t>
      </w:r>
    </w:p>
    <w:p w:rsidR="008A58E5" w:rsidRPr="00503161" w:rsidRDefault="008A58E5" w:rsidP="00503161">
      <w:pPr>
        <w:spacing w:line="360" w:lineRule="auto"/>
        <w:rPr>
          <w:rStyle w:val="14"/>
          <w:rFonts w:eastAsia="Courier New"/>
          <w:i w:val="0"/>
          <w:sz w:val="24"/>
          <w:szCs w:val="24"/>
        </w:rPr>
      </w:pPr>
    </w:p>
    <w:p w:rsidR="008A58E5" w:rsidRPr="00503161" w:rsidRDefault="008A58E5" w:rsidP="00503161">
      <w:pPr>
        <w:keepNext/>
        <w:spacing w:line="360" w:lineRule="auto"/>
        <w:jc w:val="center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Аннотация практики</w:t>
      </w:r>
    </w:p>
    <w:p w:rsidR="008A58E5" w:rsidRPr="00503161" w:rsidRDefault="008A58E5" w:rsidP="00503161">
      <w:pPr>
        <w:pStyle w:val="2"/>
        <w:spacing w:line="360" w:lineRule="auto"/>
        <w:rPr>
          <w:rFonts w:eastAsia="Calibri"/>
          <w:szCs w:val="24"/>
        </w:rPr>
      </w:pPr>
      <w:bookmarkStart w:id="5" w:name="_Toc7621100"/>
      <w:r w:rsidRPr="00503161">
        <w:rPr>
          <w:szCs w:val="24"/>
        </w:rPr>
        <w:t>П</w:t>
      </w:r>
      <w:r w:rsidRPr="00503161">
        <w:rPr>
          <w:rFonts w:eastAsia="Calibri"/>
          <w:szCs w:val="24"/>
        </w:rPr>
        <w:t>реддипломн</w:t>
      </w:r>
      <w:r w:rsidRPr="00503161">
        <w:rPr>
          <w:szCs w:val="24"/>
        </w:rPr>
        <w:t>ая</w:t>
      </w:r>
      <w:r w:rsidRPr="00503161">
        <w:rPr>
          <w:rFonts w:eastAsia="Calibri"/>
          <w:szCs w:val="24"/>
        </w:rPr>
        <w:t xml:space="preserve"> практик</w:t>
      </w:r>
      <w:r w:rsidRPr="00503161">
        <w:rPr>
          <w:szCs w:val="24"/>
        </w:rPr>
        <w:t>а</w:t>
      </w:r>
      <w:r w:rsidRPr="00503161">
        <w:rPr>
          <w:rFonts w:eastAsia="Calibri"/>
          <w:szCs w:val="24"/>
        </w:rPr>
        <w:t xml:space="preserve"> – Б</w:t>
      </w:r>
      <w:proofErr w:type="gramStart"/>
      <w:r w:rsidRPr="00503161">
        <w:rPr>
          <w:rFonts w:eastAsia="Calibri"/>
          <w:szCs w:val="24"/>
        </w:rPr>
        <w:t>2</w:t>
      </w:r>
      <w:proofErr w:type="gramEnd"/>
      <w:r w:rsidRPr="00503161">
        <w:rPr>
          <w:rFonts w:eastAsia="Calibri"/>
          <w:szCs w:val="24"/>
        </w:rPr>
        <w:t>.П.2</w:t>
      </w:r>
      <w:bookmarkEnd w:id="5"/>
    </w:p>
    <w:p w:rsidR="008A58E5" w:rsidRPr="00503161" w:rsidRDefault="008A58E5" w:rsidP="00503161">
      <w:pPr>
        <w:spacing w:line="360" w:lineRule="auto"/>
        <w:ind w:firstLine="709"/>
        <w:rPr>
          <w:b/>
          <w:sz w:val="24"/>
          <w:szCs w:val="24"/>
        </w:rPr>
      </w:pPr>
      <w:r w:rsidRPr="00503161">
        <w:rPr>
          <w:b/>
          <w:sz w:val="24"/>
          <w:szCs w:val="24"/>
        </w:rPr>
        <w:t>Цель практики</w:t>
      </w:r>
      <w:r w:rsidRPr="00503161">
        <w:rPr>
          <w:sz w:val="24"/>
          <w:szCs w:val="24"/>
        </w:rPr>
        <w:t>: оформление выпускной квалификационной работы (диплома) и подготовка доклада и презентации работы к защите.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proofErr w:type="gramStart"/>
      <w:r w:rsidRPr="00503161">
        <w:rPr>
          <w:b/>
          <w:sz w:val="24"/>
          <w:szCs w:val="24"/>
        </w:rPr>
        <w:t xml:space="preserve">Место практики в структуре ОПОП: </w:t>
      </w:r>
      <w:r w:rsidRPr="00503161">
        <w:rPr>
          <w:sz w:val="24"/>
          <w:szCs w:val="24"/>
        </w:rPr>
        <w:t>учебная практика блока 2 «Практики, в том числе научно-исследовательская работа (НИР)» подготовки специалистов по специальн</w:t>
      </w:r>
      <w:r w:rsidRPr="00503161">
        <w:rPr>
          <w:sz w:val="24"/>
          <w:szCs w:val="24"/>
        </w:rPr>
        <w:t>о</w:t>
      </w:r>
      <w:r w:rsidRPr="00503161">
        <w:rPr>
          <w:sz w:val="24"/>
          <w:szCs w:val="24"/>
        </w:rPr>
        <w:t xml:space="preserve">сти </w:t>
      </w:r>
      <w:r w:rsidRPr="00503161">
        <w:rPr>
          <w:color w:val="000000"/>
          <w:sz w:val="24"/>
          <w:szCs w:val="24"/>
          <w:shd w:val="clear" w:color="auto" w:fill="FFFFFF"/>
        </w:rPr>
        <w:t>11.05.01</w:t>
      </w:r>
      <w:r w:rsidRPr="00503161">
        <w:rPr>
          <w:color w:val="000000"/>
          <w:sz w:val="24"/>
          <w:szCs w:val="24"/>
        </w:rPr>
        <w:t xml:space="preserve"> </w:t>
      </w:r>
      <w:r w:rsidRPr="00503161">
        <w:rPr>
          <w:sz w:val="24"/>
          <w:szCs w:val="24"/>
        </w:rPr>
        <w:t>Радиоэлектронные системы и комплексы (специализация:</w:t>
      </w:r>
      <w:proofErr w:type="gramEnd"/>
      <w:r w:rsidRPr="00503161">
        <w:rPr>
          <w:sz w:val="24"/>
          <w:szCs w:val="24"/>
        </w:rPr>
        <w:t xml:space="preserve"> </w:t>
      </w:r>
      <w:proofErr w:type="gramStart"/>
      <w:r w:rsidRPr="00503161">
        <w:rPr>
          <w:sz w:val="24"/>
          <w:szCs w:val="24"/>
        </w:rPr>
        <w:t>Радионавигацио</w:t>
      </w:r>
      <w:r w:rsidRPr="00503161">
        <w:rPr>
          <w:sz w:val="24"/>
          <w:szCs w:val="24"/>
        </w:rPr>
        <w:t>н</w:t>
      </w:r>
      <w:r w:rsidRPr="00503161">
        <w:rPr>
          <w:sz w:val="24"/>
          <w:szCs w:val="24"/>
        </w:rPr>
        <w:t>ные системы и комплексы).</w:t>
      </w:r>
      <w:proofErr w:type="gramEnd"/>
      <w:r w:rsidRPr="00503161">
        <w:rPr>
          <w:sz w:val="24"/>
          <w:szCs w:val="24"/>
        </w:rPr>
        <w:t xml:space="preserve"> Количество зачетных единиц – 6.</w:t>
      </w:r>
    </w:p>
    <w:p w:rsidR="008A58E5" w:rsidRPr="00503161" w:rsidRDefault="008A58E5" w:rsidP="00FE770D">
      <w:pPr>
        <w:keepNext/>
        <w:spacing w:line="360" w:lineRule="auto"/>
        <w:ind w:firstLine="709"/>
        <w:rPr>
          <w:rStyle w:val="14"/>
          <w:rFonts w:eastAsia="Courier New"/>
          <w:i w:val="0"/>
          <w:sz w:val="24"/>
          <w:szCs w:val="24"/>
        </w:rPr>
      </w:pPr>
      <w:r w:rsidRPr="00503161">
        <w:rPr>
          <w:b/>
          <w:sz w:val="24"/>
          <w:szCs w:val="24"/>
        </w:rPr>
        <w:lastRenderedPageBreak/>
        <w:t>Содержание</w:t>
      </w:r>
      <w:bookmarkStart w:id="6" w:name="_GoBack"/>
      <w:bookmarkEnd w:id="6"/>
      <w:r w:rsidRPr="00503161">
        <w:rPr>
          <w:b/>
          <w:sz w:val="24"/>
          <w:szCs w:val="24"/>
        </w:rPr>
        <w:t xml:space="preserve"> разделов:</w:t>
      </w:r>
      <w:r w:rsidRPr="00503161">
        <w:rPr>
          <w:sz w:val="24"/>
          <w:szCs w:val="24"/>
        </w:rPr>
        <w:t xml:space="preserve"> 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sz w:val="24"/>
          <w:szCs w:val="24"/>
        </w:rPr>
        <w:t>1. Оформление выпускной квалификационной работы специалиста в виде текста с графиками, рисунками, таблицами.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sz w:val="24"/>
          <w:szCs w:val="24"/>
        </w:rPr>
        <w:t>2. Передача подготовленной работы руководителю (консультанту) для проверки.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sz w:val="24"/>
          <w:szCs w:val="24"/>
        </w:rPr>
        <w:t>3. Коррекция выпускной квалификационной работы в соответствии с замечаниями руководителя (консультанта).</w:t>
      </w:r>
    </w:p>
    <w:p w:rsidR="008A58E5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sz w:val="24"/>
          <w:szCs w:val="24"/>
        </w:rPr>
        <w:t>4. Подготовка текста доклада и презентации работы.</w:t>
      </w:r>
    </w:p>
    <w:p w:rsidR="0002352B" w:rsidRPr="00503161" w:rsidRDefault="008A58E5" w:rsidP="00503161">
      <w:pPr>
        <w:spacing w:line="360" w:lineRule="auto"/>
        <w:ind w:firstLine="709"/>
        <w:rPr>
          <w:sz w:val="24"/>
          <w:szCs w:val="24"/>
        </w:rPr>
      </w:pPr>
      <w:r w:rsidRPr="00503161">
        <w:rPr>
          <w:sz w:val="24"/>
          <w:szCs w:val="24"/>
        </w:rPr>
        <w:t>5. Предварительная защита выпускной квалификационной работы.</w:t>
      </w:r>
    </w:p>
    <w:sectPr w:rsidR="0002352B" w:rsidRPr="00503161" w:rsidSect="000111C6">
      <w:footerReference w:type="default" r:id="rId9"/>
      <w:pgSz w:w="11906" w:h="16838"/>
      <w:pgMar w:top="709" w:right="99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26" w:rsidRDefault="007D7B26" w:rsidP="000111C6">
      <w:pPr>
        <w:spacing w:line="240" w:lineRule="auto"/>
      </w:pPr>
      <w:r>
        <w:separator/>
      </w:r>
    </w:p>
  </w:endnote>
  <w:endnote w:type="continuationSeparator" w:id="0">
    <w:p w:rsidR="007D7B26" w:rsidRDefault="007D7B26" w:rsidP="0001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324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111C6" w:rsidRPr="000111C6" w:rsidRDefault="000111C6">
        <w:pPr>
          <w:pStyle w:val="af5"/>
          <w:jc w:val="center"/>
          <w:rPr>
            <w:sz w:val="24"/>
            <w:szCs w:val="24"/>
          </w:rPr>
        </w:pPr>
        <w:r w:rsidRPr="000111C6">
          <w:rPr>
            <w:sz w:val="24"/>
            <w:szCs w:val="24"/>
          </w:rPr>
          <w:fldChar w:fldCharType="begin"/>
        </w:r>
        <w:r w:rsidRPr="000111C6">
          <w:rPr>
            <w:sz w:val="24"/>
            <w:szCs w:val="24"/>
          </w:rPr>
          <w:instrText>PAGE   \* MERGEFORMAT</w:instrText>
        </w:r>
        <w:r w:rsidRPr="000111C6">
          <w:rPr>
            <w:sz w:val="24"/>
            <w:szCs w:val="24"/>
          </w:rPr>
          <w:fldChar w:fldCharType="separate"/>
        </w:r>
        <w:r w:rsidR="00FE770D">
          <w:rPr>
            <w:noProof/>
            <w:sz w:val="24"/>
            <w:szCs w:val="24"/>
          </w:rPr>
          <w:t>5</w:t>
        </w:r>
        <w:r w:rsidRPr="000111C6">
          <w:rPr>
            <w:sz w:val="24"/>
            <w:szCs w:val="24"/>
          </w:rPr>
          <w:fldChar w:fldCharType="end"/>
        </w:r>
      </w:p>
    </w:sdtContent>
  </w:sdt>
  <w:p w:rsidR="000111C6" w:rsidRDefault="000111C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26" w:rsidRDefault="007D7B26" w:rsidP="000111C6">
      <w:pPr>
        <w:spacing w:line="240" w:lineRule="auto"/>
      </w:pPr>
      <w:r>
        <w:separator/>
      </w:r>
    </w:p>
  </w:footnote>
  <w:footnote w:type="continuationSeparator" w:id="0">
    <w:p w:rsidR="007D7B26" w:rsidRDefault="007D7B26" w:rsidP="00011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78791B"/>
    <w:multiLevelType w:val="hybridMultilevel"/>
    <w:tmpl w:val="C20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91CD9"/>
    <w:multiLevelType w:val="hybridMultilevel"/>
    <w:tmpl w:val="D79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44FB"/>
    <w:multiLevelType w:val="hybridMultilevel"/>
    <w:tmpl w:val="379E2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11C6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161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1775D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D7B26"/>
    <w:rsid w:val="007E4FE6"/>
    <w:rsid w:val="007E612B"/>
    <w:rsid w:val="00801F02"/>
    <w:rsid w:val="008043ED"/>
    <w:rsid w:val="00804A53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6337"/>
    <w:rsid w:val="00897AF6"/>
    <w:rsid w:val="008A58E5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5909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D319D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5608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30573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D319D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character" w:customStyle="1" w:styleId="14">
    <w:name w:val="Основной текст1"/>
    <w:rsid w:val="00955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D319D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head">
    <w:name w:val="Annotation_head"/>
    <w:basedOn w:val="a0"/>
    <w:rsid w:val="000111C6"/>
    <w:pPr>
      <w:spacing w:line="240" w:lineRule="auto"/>
      <w:jc w:val="center"/>
    </w:pPr>
    <w:rPr>
      <w:rFonts w:eastAsia="Times New Roman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0111C6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111C6"/>
    <w:rPr>
      <w:rFonts w:ascii="Times New Roman" w:hAnsi="Times New Roman"/>
      <w:sz w:val="28"/>
      <w:szCs w:val="22"/>
      <w:lang w:eastAsia="en-US"/>
    </w:rPr>
  </w:style>
  <w:style w:type="character" w:customStyle="1" w:styleId="14">
    <w:name w:val="Основной текст1"/>
    <w:rsid w:val="00955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радиотехники и электроники ИРЭ</institute>
    <profile xmlns="9fcb41ef-c49b-4112-a10d-653860e908af">Радионавигационные системы и комплексы</profile>
    <form_x002d_study xmlns="9fcb41ef-c49b-4112-a10d-653860e908af">очная</form_x002d_stu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E16C9-A4FE-40FC-86B1-2148DC8CECCD}"/>
</file>

<file path=customXml/itemProps2.xml><?xml version="1.0" encoding="utf-8"?>
<ds:datastoreItem xmlns:ds="http://schemas.openxmlformats.org/officeDocument/2006/customXml" ds:itemID="{CEFF65EF-FFA4-4AEB-8B28-878CEF05450E}"/>
</file>

<file path=customXml/itemProps3.xml><?xml version="1.0" encoding="utf-8"?>
<ds:datastoreItem xmlns:ds="http://schemas.openxmlformats.org/officeDocument/2006/customXml" ds:itemID="{622DC132-E933-4B4F-AD11-94E2B5FC1AAD}"/>
</file>

<file path=customXml/itemProps4.xml><?xml version="1.0" encoding="utf-8"?>
<ds:datastoreItem xmlns:ds="http://schemas.openxmlformats.org/officeDocument/2006/customXml" ds:itemID="{4B2E6E45-FA0C-4AD7-ACC7-751CF8226E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7832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Galka</cp:lastModifiedBy>
  <cp:revision>13</cp:revision>
  <cp:lastPrinted>2017-07-13T09:51:00Z</cp:lastPrinted>
  <dcterms:created xsi:type="dcterms:W3CDTF">2019-04-24T18:19:00Z</dcterms:created>
  <dcterms:modified xsi:type="dcterms:W3CDTF">2019-05-01T13:38:00Z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92100</vt:r8>
  </property>
</Properties>
</file>