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3B" w:rsidRPr="00407B3B" w:rsidRDefault="00407B3B" w:rsidP="00407B3B">
      <w:pPr>
        <w:spacing w:line="264" w:lineRule="auto"/>
        <w:ind w:firstLine="0"/>
        <w:jc w:val="center"/>
        <w:rPr>
          <w:b/>
          <w:szCs w:val="22"/>
        </w:rPr>
      </w:pPr>
      <w:r w:rsidRPr="00407B3B">
        <w:rPr>
          <w:b/>
          <w:szCs w:val="22"/>
        </w:rPr>
        <w:t>Образец полосы набора для конкурсных книг</w:t>
      </w:r>
    </w:p>
    <w:p w:rsidR="00407B3B" w:rsidRDefault="00407B3B" w:rsidP="00EE1454">
      <w:pPr>
        <w:spacing w:line="264" w:lineRule="auto"/>
        <w:ind w:firstLine="567"/>
        <w:rPr>
          <w:szCs w:val="22"/>
        </w:rPr>
      </w:pPr>
    </w:p>
    <w:p w:rsidR="00EE1454" w:rsidRPr="002328C7" w:rsidRDefault="00EE1454" w:rsidP="00EE1454">
      <w:pPr>
        <w:spacing w:line="264" w:lineRule="auto"/>
        <w:ind w:firstLine="567"/>
        <w:rPr>
          <w:szCs w:val="22"/>
        </w:rPr>
      </w:pPr>
      <w:r w:rsidRPr="002328C7">
        <w:rPr>
          <w:szCs w:val="22"/>
        </w:rPr>
        <w:t xml:space="preserve">Приведенная к шинам высшего напряжения подстанции нагрузка </w:t>
      </w:r>
      <w:r w:rsidRPr="002328C7">
        <w:rPr>
          <w:i/>
          <w:szCs w:val="22"/>
          <w:lang w:val="en-US"/>
        </w:rPr>
        <w:t>P</w:t>
      </w:r>
      <w:proofErr w:type="spellStart"/>
      <w:r w:rsidRPr="002328C7">
        <w:rPr>
          <w:szCs w:val="22"/>
          <w:vertAlign w:val="subscript"/>
        </w:rPr>
        <w:t>прив</w:t>
      </w:r>
      <w:proofErr w:type="spellEnd"/>
      <w:r w:rsidRPr="002328C7">
        <w:rPr>
          <w:szCs w:val="22"/>
          <w:lang w:val="en-US"/>
        </w:rPr>
        <w:t> </w:t>
      </w:r>
      <w:r w:rsidRPr="002328C7">
        <w:rPr>
          <w:szCs w:val="22"/>
        </w:rPr>
        <w:t>+</w:t>
      </w:r>
      <w:r w:rsidRPr="002328C7">
        <w:rPr>
          <w:szCs w:val="22"/>
          <w:lang w:val="en-US"/>
        </w:rPr>
        <w:t> </w:t>
      </w:r>
      <w:proofErr w:type="spellStart"/>
      <w:r w:rsidRPr="002328C7">
        <w:rPr>
          <w:i/>
          <w:szCs w:val="22"/>
          <w:lang w:val="en-US"/>
        </w:rPr>
        <w:t>jQ</w:t>
      </w:r>
      <w:r w:rsidRPr="002328C7">
        <w:rPr>
          <w:szCs w:val="22"/>
          <w:vertAlign w:val="subscript"/>
        </w:rPr>
        <w:t>прив</w:t>
      </w:r>
      <w:proofErr w:type="spellEnd"/>
      <w:r w:rsidRPr="002328C7">
        <w:rPr>
          <w:szCs w:val="22"/>
        </w:rPr>
        <w:t xml:space="preserve"> отличается от исходной нагрузки на шинах низшего напряжения на величину потерь мощности в сопротивлении обмоток трансформаторов </w:t>
      </w:r>
      <w:r w:rsidRPr="002328C7">
        <w:rPr>
          <w:i/>
          <w:szCs w:val="22"/>
          <w:lang w:val="en-US"/>
        </w:rPr>
        <w:t>R</w:t>
      </w:r>
      <w:r w:rsidRPr="002328C7">
        <w:rPr>
          <w:szCs w:val="22"/>
          <w:vertAlign w:val="subscript"/>
        </w:rPr>
        <w:t>т</w:t>
      </w:r>
      <w:r w:rsidRPr="002328C7">
        <w:rPr>
          <w:szCs w:val="22"/>
          <w:lang w:val="en-US"/>
        </w:rPr>
        <w:t> </w:t>
      </w:r>
      <w:r w:rsidRPr="002328C7">
        <w:rPr>
          <w:szCs w:val="22"/>
        </w:rPr>
        <w:t>+</w:t>
      </w:r>
      <w:r w:rsidRPr="002328C7">
        <w:rPr>
          <w:szCs w:val="22"/>
          <w:lang w:val="en-US"/>
        </w:rPr>
        <w:t> </w:t>
      </w:r>
      <w:proofErr w:type="spellStart"/>
      <w:r w:rsidRPr="002328C7">
        <w:rPr>
          <w:i/>
          <w:szCs w:val="22"/>
          <w:lang w:val="en-US"/>
        </w:rPr>
        <w:t>jX</w:t>
      </w:r>
      <w:proofErr w:type="spellEnd"/>
      <w:r w:rsidRPr="002328C7">
        <w:rPr>
          <w:szCs w:val="22"/>
          <w:vertAlign w:val="subscript"/>
        </w:rPr>
        <w:t>т</w:t>
      </w:r>
      <w:r w:rsidRPr="002328C7">
        <w:rPr>
          <w:szCs w:val="22"/>
        </w:rPr>
        <w:t xml:space="preserve"> (вывод формулы см. раздел 3.2) и потерь холостого хода трансформаторов ∆</w:t>
      </w:r>
      <w:r w:rsidRPr="002328C7">
        <w:rPr>
          <w:i/>
          <w:szCs w:val="22"/>
          <w:lang w:val="en-US"/>
        </w:rPr>
        <w:t>P</w:t>
      </w:r>
      <w:r w:rsidRPr="002328C7">
        <w:rPr>
          <w:szCs w:val="22"/>
          <w:vertAlign w:val="subscript"/>
        </w:rPr>
        <w:t>х</w:t>
      </w:r>
      <w:r w:rsidRPr="002328C7">
        <w:rPr>
          <w:szCs w:val="22"/>
          <w:lang w:val="en-US"/>
        </w:rPr>
        <w:t> </w:t>
      </w:r>
      <w:r w:rsidRPr="002328C7">
        <w:rPr>
          <w:szCs w:val="22"/>
        </w:rPr>
        <w:t>+</w:t>
      </w:r>
      <w:r w:rsidRPr="002328C7">
        <w:rPr>
          <w:szCs w:val="22"/>
          <w:lang w:val="en-US"/>
        </w:rPr>
        <w:t> </w:t>
      </w:r>
      <w:r w:rsidRPr="002328C7">
        <w:rPr>
          <w:i/>
          <w:szCs w:val="22"/>
          <w:lang w:val="en-US"/>
        </w:rPr>
        <w:t>j</w:t>
      </w:r>
      <w:r w:rsidRPr="002328C7">
        <w:rPr>
          <w:szCs w:val="22"/>
        </w:rPr>
        <w:t>∆</w:t>
      </w:r>
      <w:r w:rsidRPr="002328C7">
        <w:rPr>
          <w:i/>
          <w:szCs w:val="22"/>
          <w:lang w:val="en-US"/>
        </w:rPr>
        <w:t>Q</w:t>
      </w:r>
      <w:r w:rsidRPr="002328C7">
        <w:rPr>
          <w:szCs w:val="22"/>
          <w:vertAlign w:val="subscript"/>
        </w:rPr>
        <w:t>х</w:t>
      </w:r>
      <w:r w:rsidRPr="002328C7">
        <w:rPr>
          <w:szCs w:val="22"/>
        </w:rPr>
        <w:t>:</w:t>
      </w:r>
    </w:p>
    <w:p w:rsidR="00EE1454" w:rsidRPr="00906AD6" w:rsidRDefault="00EE1454" w:rsidP="00EE1454">
      <w:pPr>
        <w:spacing w:before="100" w:line="264" w:lineRule="auto"/>
        <w:ind w:firstLine="0"/>
        <w:jc w:val="center"/>
        <w:rPr>
          <w:szCs w:val="22"/>
        </w:rPr>
      </w:pPr>
      <w:r w:rsidRPr="00906AD6">
        <w:rPr>
          <w:position w:val="-14"/>
        </w:rPr>
        <w:object w:dxaOrig="5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18pt" o:ole="">
            <v:imagedata r:id="rId6" o:title=""/>
          </v:shape>
          <o:OLEObject Type="Embed" ProgID="Equation.DSMT4" ShapeID="_x0000_i1025" DrawAspect="Content" ObjectID="_1821875123" r:id="rId7"/>
        </w:object>
      </w:r>
      <w:r w:rsidRPr="00906AD6">
        <w:rPr>
          <w:szCs w:val="22"/>
        </w:rPr>
        <w:t>;</w:t>
      </w:r>
    </w:p>
    <w:p w:rsidR="00EE1454" w:rsidRPr="00906AD6" w:rsidRDefault="00EE1454" w:rsidP="00EE1454">
      <w:pPr>
        <w:shd w:val="clear" w:color="auto" w:fill="FFFFFF"/>
        <w:spacing w:after="100" w:line="264" w:lineRule="auto"/>
        <w:ind w:firstLine="0"/>
        <w:jc w:val="center"/>
        <w:rPr>
          <w:szCs w:val="22"/>
        </w:rPr>
      </w:pPr>
      <w:r w:rsidRPr="00906AD6">
        <w:rPr>
          <w:position w:val="-28"/>
        </w:rPr>
        <w:object w:dxaOrig="3300" w:dyaOrig="660">
          <v:shape id="_x0000_i1026" type="#_x0000_t75" style="width:166.5pt;height:33pt" o:ole="">
            <v:imagedata r:id="rId8" o:title=""/>
          </v:shape>
          <o:OLEObject Type="Embed" ProgID="Equation.DSMT4" ShapeID="_x0000_i1026" DrawAspect="Content" ObjectID="_1821875124" r:id="rId9"/>
        </w:object>
      </w:r>
      <w:r w:rsidRPr="00906AD6">
        <w:rPr>
          <w:szCs w:val="22"/>
        </w:rPr>
        <w:t>.</w:t>
      </w:r>
    </w:p>
    <w:p w:rsidR="00EE1454" w:rsidRDefault="00EE1454" w:rsidP="00EE1454">
      <w:pPr>
        <w:shd w:val="clear" w:color="auto" w:fill="FFFFFF"/>
        <w:spacing w:line="264" w:lineRule="auto"/>
        <w:ind w:firstLine="567"/>
        <w:rPr>
          <w:szCs w:val="22"/>
        </w:rPr>
      </w:pPr>
      <w:r w:rsidRPr="00906AD6">
        <w:rPr>
          <w:szCs w:val="22"/>
        </w:rPr>
        <w:t xml:space="preserve">Расчетная нагрузка подстанции (узла нагрузки) </w:t>
      </w:r>
      <w:r w:rsidRPr="00906AD6">
        <w:rPr>
          <w:i/>
          <w:szCs w:val="22"/>
          <w:lang w:val="en-US"/>
        </w:rPr>
        <w:t>P</w:t>
      </w:r>
      <w:r w:rsidRPr="00906AD6">
        <w:rPr>
          <w:szCs w:val="22"/>
          <w:vertAlign w:val="subscript"/>
        </w:rPr>
        <w:t>р</w:t>
      </w:r>
      <w:r w:rsidRPr="00906AD6">
        <w:rPr>
          <w:szCs w:val="22"/>
          <w:lang w:val="en-US"/>
        </w:rPr>
        <w:t> </w:t>
      </w:r>
      <w:r w:rsidRPr="00906AD6">
        <w:rPr>
          <w:szCs w:val="22"/>
        </w:rPr>
        <w:t>+</w:t>
      </w:r>
      <w:r w:rsidRPr="00906AD6">
        <w:rPr>
          <w:szCs w:val="22"/>
          <w:lang w:val="en-US"/>
        </w:rPr>
        <w:t> </w:t>
      </w:r>
      <w:proofErr w:type="spellStart"/>
      <w:r w:rsidRPr="00906AD6">
        <w:rPr>
          <w:i/>
          <w:szCs w:val="22"/>
          <w:lang w:val="en-US"/>
        </w:rPr>
        <w:t>jQ</w:t>
      </w:r>
      <w:proofErr w:type="spellEnd"/>
      <w:r w:rsidRPr="00906AD6">
        <w:rPr>
          <w:szCs w:val="22"/>
          <w:vertAlign w:val="subscript"/>
        </w:rPr>
        <w:t>р</w:t>
      </w:r>
      <w:r w:rsidRPr="00906AD6">
        <w:rPr>
          <w:szCs w:val="22"/>
        </w:rPr>
        <w:t xml:space="preserve"> определяется как алгебраическая сумма приведенной нагрузки </w:t>
      </w:r>
      <w:r>
        <w:rPr>
          <w:szCs w:val="22"/>
        </w:rPr>
        <w:br/>
      </w:r>
      <w:r w:rsidRPr="00906AD6">
        <w:rPr>
          <w:szCs w:val="22"/>
        </w:rPr>
        <w:t>и половины зарядных мощностей всех линий, связанных с данным узлом:</w:t>
      </w:r>
    </w:p>
    <w:p w:rsidR="00EE1454" w:rsidRPr="00906AD6" w:rsidRDefault="00EE1454" w:rsidP="00EE1454">
      <w:pPr>
        <w:spacing w:before="100" w:after="100" w:line="264" w:lineRule="auto"/>
        <w:ind w:firstLine="0"/>
        <w:jc w:val="center"/>
        <w:rPr>
          <w:szCs w:val="22"/>
        </w:rPr>
      </w:pPr>
      <w:r w:rsidRPr="00906AD6">
        <w:rPr>
          <w:position w:val="-22"/>
        </w:rPr>
        <w:object w:dxaOrig="3300" w:dyaOrig="600">
          <v:shape id="_x0000_i1027" type="#_x0000_t75" style="width:166.5pt;height:30pt" o:ole="">
            <v:imagedata r:id="rId10" o:title=""/>
          </v:shape>
          <o:OLEObject Type="Embed" ProgID="Equation.DSMT4" ShapeID="_x0000_i1027" DrawAspect="Content" ObjectID="_1821875125" r:id="rId11"/>
        </w:object>
      </w:r>
    </w:p>
    <w:p w:rsidR="00EE1454" w:rsidRPr="002328C7" w:rsidRDefault="00EE1454" w:rsidP="00EE1454">
      <w:pPr>
        <w:spacing w:line="264" w:lineRule="auto"/>
        <w:ind w:firstLine="567"/>
        <w:rPr>
          <w:szCs w:val="22"/>
        </w:rPr>
      </w:pPr>
      <w:r w:rsidRPr="002328C7">
        <w:rPr>
          <w:szCs w:val="22"/>
        </w:rPr>
        <w:t>В результате схема замещения электрической сети, приведенная на рис. 2.2, преобразуется к виду, показанном на рис. 3.4.</w:t>
      </w:r>
    </w:p>
    <w:p w:rsidR="00EE1454" w:rsidRPr="00906AD6" w:rsidRDefault="00EE1454" w:rsidP="00EE1454">
      <w:pPr>
        <w:spacing w:before="100" w:after="160" w:line="264" w:lineRule="auto"/>
        <w:ind w:firstLine="0"/>
        <w:jc w:val="center"/>
        <w:rPr>
          <w:szCs w:val="22"/>
        </w:rPr>
      </w:pPr>
      <w:r w:rsidRPr="00906AD6">
        <w:rPr>
          <w:noProof/>
          <w:szCs w:val="22"/>
        </w:rPr>
        <w:drawing>
          <wp:inline distT="0" distB="0" distL="0" distR="0" wp14:anchorId="171A8091" wp14:editId="6EC2F99E">
            <wp:extent cx="3917171" cy="717806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939" cy="73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454" w:rsidRPr="00E033E3" w:rsidRDefault="00EE1454" w:rsidP="00EE1454">
      <w:pPr>
        <w:spacing w:line="264" w:lineRule="auto"/>
        <w:ind w:firstLine="0"/>
        <w:jc w:val="center"/>
        <w:rPr>
          <w:b/>
          <w:sz w:val="18"/>
          <w:szCs w:val="22"/>
        </w:rPr>
      </w:pPr>
      <w:r w:rsidRPr="00E033E3">
        <w:rPr>
          <w:b/>
          <w:sz w:val="18"/>
          <w:szCs w:val="22"/>
        </w:rPr>
        <w:t>Рис. 3.4. Расчетная схема электрической сети, приведенной на рис. 3.1</w:t>
      </w:r>
    </w:p>
    <w:p w:rsidR="00EE1454" w:rsidRPr="00EE1454" w:rsidRDefault="00EE1454" w:rsidP="00EE1454">
      <w:pPr>
        <w:spacing w:line="264" w:lineRule="auto"/>
        <w:ind w:firstLine="567"/>
        <w:rPr>
          <w:szCs w:val="22"/>
        </w:rPr>
      </w:pPr>
      <w:r>
        <w:rPr>
          <w:szCs w:val="22"/>
        </w:rPr>
        <w:t>Пустая строка</w:t>
      </w:r>
    </w:p>
    <w:p w:rsidR="00036283" w:rsidRDefault="00EE1454" w:rsidP="00407B3B">
      <w:pPr>
        <w:spacing w:line="264" w:lineRule="auto"/>
        <w:ind w:firstLine="567"/>
      </w:pPr>
      <w:r w:rsidRPr="00906AD6">
        <w:rPr>
          <w:szCs w:val="22"/>
        </w:rPr>
        <w:t>Введение приведенных и расчетных нагрузок вносит некоторую погрешность в расчет параметров режима, поскольку потери мощности в сопротивлениях обмоток трансформаторов и зарядные мощности линий электропередачи рассчитываются не по фактическим напряжениям в узлах, а по номинальному напряжению. Но для расчетов режима вручную такая погрешность считается допустимой.</w:t>
      </w:r>
      <w:r w:rsidR="00407B3B">
        <w:rPr>
          <w:szCs w:val="22"/>
        </w:rPr>
        <w:t xml:space="preserve"> </w:t>
      </w:r>
      <w:r w:rsidRPr="00906AD6">
        <w:rPr>
          <w:szCs w:val="22"/>
        </w:rPr>
        <w:t xml:space="preserve">Расчеты режимов электрической сети, как отмечалось выше, проводятся в форме напряжений и мощностей, а не токов. </w:t>
      </w:r>
      <w:bookmarkStart w:id="0" w:name="_GoBack"/>
      <w:bookmarkEnd w:id="0"/>
    </w:p>
    <w:sectPr w:rsidR="00036283" w:rsidSect="00EE1454">
      <w:footerReference w:type="default" r:id="rId13"/>
      <w:pgSz w:w="8222" w:h="12191" w:code="4246"/>
      <w:pgMar w:top="1134" w:right="964" w:bottom="1134" w:left="964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2D" w:rsidRDefault="0010292D" w:rsidP="00EE1454">
      <w:r>
        <w:separator/>
      </w:r>
    </w:p>
  </w:endnote>
  <w:endnote w:type="continuationSeparator" w:id="0">
    <w:p w:rsidR="0010292D" w:rsidRDefault="0010292D" w:rsidP="00EE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7812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E1454" w:rsidRPr="00EE1454" w:rsidRDefault="00EE1454" w:rsidP="00EE1454">
        <w:pPr>
          <w:pStyle w:val="a5"/>
          <w:jc w:val="center"/>
          <w:rPr>
            <w:sz w:val="18"/>
            <w:szCs w:val="18"/>
          </w:rPr>
        </w:pPr>
        <w:r w:rsidRPr="00EE1454">
          <w:rPr>
            <w:sz w:val="18"/>
            <w:szCs w:val="18"/>
          </w:rPr>
          <w:fldChar w:fldCharType="begin"/>
        </w:r>
        <w:r w:rsidRPr="00EE1454">
          <w:rPr>
            <w:sz w:val="18"/>
            <w:szCs w:val="18"/>
          </w:rPr>
          <w:instrText>PAGE   \* MERGEFORMAT</w:instrText>
        </w:r>
        <w:r w:rsidRPr="00EE1454">
          <w:rPr>
            <w:sz w:val="18"/>
            <w:szCs w:val="18"/>
          </w:rPr>
          <w:fldChar w:fldCharType="separate"/>
        </w:r>
        <w:r w:rsidR="00407B3B">
          <w:rPr>
            <w:noProof/>
            <w:sz w:val="18"/>
            <w:szCs w:val="18"/>
          </w:rPr>
          <w:t>1</w:t>
        </w:r>
        <w:r w:rsidRPr="00EE145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2D" w:rsidRDefault="0010292D" w:rsidP="00EE1454">
      <w:r>
        <w:separator/>
      </w:r>
    </w:p>
  </w:footnote>
  <w:footnote w:type="continuationSeparator" w:id="0">
    <w:p w:rsidR="0010292D" w:rsidRDefault="0010292D" w:rsidP="00EE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4"/>
    <w:rsid w:val="00036283"/>
    <w:rsid w:val="0010292D"/>
    <w:rsid w:val="004007EE"/>
    <w:rsid w:val="00407B3B"/>
    <w:rsid w:val="00E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515001F-C40C-44B0-B69A-0C575914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5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1454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1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454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4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1E4C18-4BA6-4323-9ADB-BDD7F5B3765A}"/>
</file>

<file path=customXml/itemProps2.xml><?xml version="1.0" encoding="utf-8"?>
<ds:datastoreItem xmlns:ds="http://schemas.openxmlformats.org/officeDocument/2006/customXml" ds:itemID="{E6159DFF-2B29-4112-82B0-BAA26443CA9D}"/>
</file>

<file path=customXml/itemProps3.xml><?xml version="1.0" encoding="utf-8"?>
<ds:datastoreItem xmlns:ds="http://schemas.openxmlformats.org/officeDocument/2006/customXml" ds:itemID="{879C29F4-F759-407E-9BAC-FA3F9816A5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1090</Characters>
  <Application>Microsoft Office Word</Application>
  <DocSecurity>0</DocSecurity>
  <Lines>49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Юлия Владимировна</dc:creator>
  <cp:keywords/>
  <dc:description/>
  <cp:lastModifiedBy>Петушкеева Марина Кимовна</cp:lastModifiedBy>
  <cp:revision>2</cp:revision>
  <cp:lastPrinted>2025-09-29T08:54:00Z</cp:lastPrinted>
  <dcterms:created xsi:type="dcterms:W3CDTF">2025-09-29T08:49:00Z</dcterms:created>
  <dcterms:modified xsi:type="dcterms:W3CDTF">2025-10-13T12:24:00Z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