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«Российский экономический университет им. Г.В. Плеханова»</w:t>
      </w:r>
    </w:p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3314700</wp:posOffset>
            </wp:positionH>
            <wp:positionV relativeFrom="paragraph">
              <wp:posOffset>152400</wp:posOffset>
            </wp:positionV>
            <wp:extent cx="1600200" cy="142367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23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1466850</wp:posOffset>
            </wp:positionH>
            <wp:positionV relativeFrom="paragraph">
              <wp:posOffset>85725</wp:posOffset>
            </wp:positionV>
            <wp:extent cx="1476375" cy="1423670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23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A183A" w:rsidRDefault="002A183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A183A" w:rsidRDefault="002A183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2A183A" w:rsidRDefault="002A183A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XXXV Международная научно-практическая конференция</w:t>
      </w: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«ПЛЕХАНОВСКИЕ ЧТЕНИЯ»</w:t>
      </w: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Информационное письмо</w:t>
      </w: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83A" w:rsidRDefault="002A18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83A" w:rsidRDefault="002A18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83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83A" w:rsidRDefault="002A183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Студенческое научное общество </w:t>
      </w:r>
    </w:p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2A183A" w:rsidRDefault="0099020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студенты!</w:t>
      </w:r>
    </w:p>
    <w:p w:rsidR="002A183A" w:rsidRDefault="0099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Студенческое научное общество Российского экономического университета им. Г.В. Плеханова приглашает студентов всех форм обучения принять участие в XXXV Меж</w:t>
      </w:r>
      <w:r>
        <w:rPr>
          <w:rFonts w:ascii="Times New Roman" w:eastAsia="Times New Roman" w:hAnsi="Times New Roman" w:cs="Times New Roman"/>
          <w:sz w:val="28"/>
          <w:szCs w:val="28"/>
        </w:rPr>
        <w:t>дународной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научно-практической конференции «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Плехановские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Конференция).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ференции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бесплатное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Рабочий язык Конференции: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183A" w:rsidRDefault="009902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проходит в два тура: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заочный и очный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83A" w:rsidRDefault="0099020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даты организации конференции</w:t>
      </w:r>
    </w:p>
    <w:tbl>
      <w:tblPr>
        <w:tblStyle w:val="ae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677"/>
      </w:tblGrid>
      <w:tr w:rsidR="002A183A">
        <w:trPr>
          <w:trHeight w:val="821"/>
        </w:trPr>
        <w:tc>
          <w:tcPr>
            <w:tcW w:w="5070" w:type="dxa"/>
            <w:vAlign w:val="center"/>
          </w:tcPr>
          <w:p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приема работ</w:t>
            </w:r>
          </w:p>
        </w:tc>
        <w:tc>
          <w:tcPr>
            <w:tcW w:w="4677" w:type="dxa"/>
            <w:vAlign w:val="center"/>
          </w:tcPr>
          <w:p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10.12.2021</w:t>
            </w:r>
          </w:p>
        </w:tc>
      </w:tr>
      <w:tr w:rsidR="002A183A">
        <w:trPr>
          <w:trHeight w:val="821"/>
        </w:trPr>
        <w:tc>
          <w:tcPr>
            <w:tcW w:w="5070" w:type="dxa"/>
            <w:vAlign w:val="center"/>
          </w:tcPr>
          <w:p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приема работ</w:t>
            </w:r>
          </w:p>
        </w:tc>
        <w:tc>
          <w:tcPr>
            <w:tcW w:w="4677" w:type="dxa"/>
            <w:vAlign w:val="center"/>
          </w:tcPr>
          <w:p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20.02.2022 (включительно до 23.59)</w:t>
            </w:r>
          </w:p>
        </w:tc>
      </w:tr>
      <w:tr w:rsidR="002A183A">
        <w:trPr>
          <w:trHeight w:val="974"/>
        </w:trPr>
        <w:tc>
          <w:tcPr>
            <w:tcW w:w="5070" w:type="dxa"/>
            <w:vAlign w:val="center"/>
          </w:tcPr>
          <w:p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результатов заочного тура</w:t>
            </w:r>
          </w:p>
        </w:tc>
        <w:tc>
          <w:tcPr>
            <w:tcW w:w="4677" w:type="dxa"/>
            <w:vAlign w:val="center"/>
          </w:tcPr>
          <w:p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2A183A">
        <w:trPr>
          <w:trHeight w:val="1002"/>
        </w:trPr>
        <w:tc>
          <w:tcPr>
            <w:tcW w:w="5070" w:type="dxa"/>
            <w:vAlign w:val="center"/>
          </w:tcPr>
          <w:p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очного тура и награждение победителей</w:t>
            </w:r>
          </w:p>
        </w:tc>
        <w:tc>
          <w:tcPr>
            <w:tcW w:w="4677" w:type="dxa"/>
            <w:vAlign w:val="center"/>
          </w:tcPr>
          <w:p w:rsidR="002A183A" w:rsidRDefault="0099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22.03.2022- 24.03.2022</w:t>
            </w:r>
          </w:p>
        </w:tc>
      </w:tr>
    </w:tbl>
    <w:p w:rsidR="002A183A" w:rsidRDefault="002A18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3A" w:rsidRDefault="0099020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Секции конференции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Вызовы и перспективы Евразийской интеграции.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2.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"Зеленые" налоги, учетная политика и ESG-факторы.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3.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Импортозамещение в государственных информационных системах.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4.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Категорийный менеджмент и продакт-менеджмент.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5.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методы в цифровой экономике.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6.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Мировая экономика и международное предпринимательство.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7.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Ответственные финансы, конкурентоспособность и устойчивость бизнеса.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8.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Педагогика высшей школы.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9.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Правовая защита бизнеса в цифровую эпоху.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10.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оценки качества и экспертиза товаров.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11.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Реклама и связи с общественностью в бренд- коммуникациях.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12.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проблемы таможенной логистики в международном бизнесе.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технологии в рекламных и PR-коммуникациях.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14.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финансовые технологии и бизнес- модели в экосистемах и "зеленой" экономике.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15.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Тенденции и технологии управления персоналом в HR-менеджменте.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16.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ци</w:t>
      </w:r>
      <w:r>
        <w:rPr>
          <w:rFonts w:ascii="Times New Roman" w:eastAsia="Times New Roman" w:hAnsi="Times New Roman" w:cs="Times New Roman"/>
          <w:sz w:val="28"/>
          <w:szCs w:val="28"/>
        </w:rPr>
        <w:t>фрового (диджитал) маркетинга в поведенческой экономике.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17.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Туризм, гостеприимство и наука о спорте.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18.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Финансовый учет и отчетность в условиях цифровой экономики.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19.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Цифровая трансформация и искусственный интеллект.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20.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Цифровые сервисы и кибербезопасность.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21.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Экономика торговли и ее трансформация в период пандемии COVID-19.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22.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Экономическая безопасность государства и бизнеса.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23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Экономическая теория и экономическая реальность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24 (абитуриенты).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Будущие абитуриенты.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25 (абитуриенты).</w:t>
      </w:r>
    </w:p>
    <w:p w:rsidR="002A183A" w:rsidRDefault="00990206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Проекты абитуриентов.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83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ЗАОЧНЫЙ ТУР</w:t>
      </w:r>
    </w:p>
    <w:p w:rsidR="002A183A" w:rsidRDefault="0099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заочного 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 направляет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татью по выбранной им проблеме в рамках секций Конференции. Вы можете осветить более узкую тему. Однако важно, чтобы область Вашего исследования совпадала с заявленной тематикой секции. 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 участию приглашаются студенты всех вузов.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Принять участие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студенты бакалавриата, магистратуры и специалитета, а также возможно участие школьников.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Допускается соавторство не более 2 человек.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научного руководителя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обязательно.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Один автор может подать к участию максимум 3 статьи, но не более 1</w:t>
      </w:r>
      <w:r>
        <w:rPr>
          <w:rFonts w:ascii="Times New Roman" w:eastAsia="Times New Roman" w:hAnsi="Times New Roman" w:cs="Times New Roman"/>
          <w:sz w:val="28"/>
          <w:szCs w:val="28"/>
        </w:rPr>
        <w:t>-ой статьи на 1 секцию. Школьники могут подать только одну статью.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Язык конференции: русский.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Участие в конференции бесплатное. 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Очное выступление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условием для публикации работы в сборнике конференции!</w:t>
      </w:r>
    </w:p>
    <w:p w:rsidR="002A183A" w:rsidRDefault="002A1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3A" w:rsidRDefault="0099020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обработки статей</w:t>
      </w:r>
    </w:p>
    <w:p w:rsidR="002A183A" w:rsidRDefault="009902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Зарегистрироваться и оставить заявку на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https://lomonosov-msu.ru/rus/event/7215/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отправке статьи не забывайте про требования к оформлению статей (см. Приложение 1). Название файла со статьей состоит из: «ФИО. Название статьи». Например: «Иванов Иван Иванович. Цифровизация трудовых ресурсов </w:t>
      </w:r>
      <w:r>
        <w:rPr>
          <w:rFonts w:ascii="Times New Roman" w:eastAsia="Times New Roman" w:hAnsi="Times New Roman" w:cs="Times New Roman"/>
          <w:sz w:val="28"/>
          <w:szCs w:val="28"/>
        </w:rPr>
        <w:t>в целях укрепления экономической безопасности организации».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участник хочет участвовать в нескольких секциях, просьба отправлять каждую статью отдельно в разных анкетах, каждый раз указывая необходимую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83A" w:rsidRDefault="002A1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Статьи принимаются только в формате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doc.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docx.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проверки научным руководителем данной статьи (скан первого листа статьи с подписью научного руководителя) – отдельным документом в формате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pdf. </w:t>
      </w:r>
    </w:p>
    <w:p w:rsidR="002A183A" w:rsidRDefault="002A1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83A" w:rsidRDefault="00990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Иные форматы файлов статей и подтверждений приниматься не будут!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Статьи, содержащие значительное количество (5 и более) грамматических, пунктуационных или смысловых ошибок, снимаются с участия. Необходимо использовать грамотный русский язык в процессе изложения материала.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Неправильно оформленные статьи к участию не прин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имаются.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Проверка статей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организует конкурсный отбор работ. Конкурсный отбор проводится в 2 этапа:</w:t>
      </w:r>
    </w:p>
    <w:p w:rsidR="002A183A" w:rsidRDefault="009902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 – проверка на наличие заимствований (плагиат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проверке каждой работы команда организаторов будет обращать внимание на источники, которые были задействованы. Однако общий процент оригинальности работы должен быть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более 75%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Проверка всего документа, включая ФИО студентов и список литературы 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осуществляться в системе Антиплагиат.вуз (РЭУ им Г.В. Плеханова).</w:t>
      </w:r>
    </w:p>
    <w:p w:rsidR="002A183A" w:rsidRDefault="009902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 – проверка работ экспертами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Проводится по балльно-рейтинговой системе, то есть по каждому критерию статье присваиваться определенное количество баллов, итоговый балл статьи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</w:rPr>
        <w:t>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полученных по всем критериям. На основании выставленных экспертами баллов будет сформирован рейтинг работ, по которому лучшие из них пройдут в очный тур.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Критерии экспертной проверки: </w:t>
      </w:r>
    </w:p>
    <w:p w:rsidR="002A183A" w:rsidRDefault="00990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статьи, логика изложения (введение с обоснованием актуальности заявленной проблемы, основная часть, выводы и возможные рекомендации; грамотная аннотация) – макс. 10 баллов.</w:t>
      </w:r>
    </w:p>
    <w:p w:rsidR="002A183A" w:rsidRDefault="00990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Содержание, где учитывается аналитический подход авторов, обоснованность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формулировка авторских выводов; демонстрация навыков работы с научно-аналитической литературой и первоисточниками информации; собственные расчеты и авторские исследования –  макс. 10 баллов</w:t>
      </w:r>
    </w:p>
    <w:p w:rsidR="002A183A" w:rsidRDefault="00990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Оформление, включая научно-аналитический стиль изложения, грамот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оформление списка литературы и использованной информации из официальных сайтов государственных институтов и аналитических изданий; работа со ссылками: их достоверность и грамотное использование – макс. 10 баллов.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научную составляющую работы возлагается на научного руководителя, подтверждением его руководства над автором является подпись на первом листе работы (рядом с ФИО).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ОЧНЫЙ ТУР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участники, чьи работы прошли первый тур, получат на поч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официальные приглашения на очный тур, который состоится в Российском экономическом университете имени Г.В. Плеханова.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Аудитории, формат (возможен Online-формат проведения Конференции в связи с эпидемиологической обстановкой в стране) и время проведения будут сообщены позже в официальной группе Конференции «ВКонтакте», а также на сайте РЭУ им. Г.В. Плеханова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день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оведения Конференции, студент не может присутствовать на мероприятии очно, то ему будет представлена возможность выступить дистанционно. В таком случае нужно подтвердить главному организатору невозможность очного присутствия на конференции по уважительной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причине (нахождение </w:t>
      </w:r>
      <w:r>
        <w:rPr>
          <w:rFonts w:ascii="Times New Roman" w:eastAsia="Times New Roman" w:hAnsi="Times New Roman" w:cs="Times New Roman"/>
          <w:sz w:val="28"/>
          <w:szCs w:val="28"/>
        </w:rPr>
        <w:t>за границей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другом городе РФ).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требованиями к выступлению в очном туре и критериями оценивания можно в регламенте, который будет опубликован в официальной группе Конференции «ВКонтакте».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участникам очного 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выданы сертификаты, а победители будут награждены дипломами и призами.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Конференции будет опубликован сборник научных статей, включающий работы участников, прошедших в очный тур. Все материалы будут размещены в системе РИНЦ (Российский 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 научного цитирования). </w:t>
      </w:r>
    </w:p>
    <w:p w:rsidR="002A183A" w:rsidRDefault="0099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Обращаем Ваше внимание на то, что для публикации работы в сборнике Конференции выступление является обязательным условием для всех участников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2A183A" w:rsidRDefault="0099020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оформлению статей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Объём статьи – 3-4 страницы А4 (Таблицы и рисунки учитываются, шапка и список литературы не учитываются в объёме). 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Шрифт – Times New Roman, кегль 14, поля страницы: верхнее – 2 см, нижнее – 2 см, левое – 2 см, правое - 2 см; интервал перед и после абзаца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- 0, междустрочный – одинарный, отступ (первая строка) – 1,25 см;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первой странице работы в правом верхнем углу (выравнивание по правой стороне) необходимо указать: Фамилия И.О. участника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полужирным 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на следующей строке указывается факультет,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урс, ниже название учебного заведения, еще ниже Фамилия И.О. научного руководителя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полужирным 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на следующей строке ученая степень и научное звание, под ними место работы научного руководителя (структурное подразделение), организация;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пустая строка;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указывается название работы заглавными буквами,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полужирным 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выравнивание текста по центру;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Пропускается 1 пустая строка;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 (от 200 до 350 знаков), содержащая краткое описание вопроса, поднятого в работе;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следующей строке Ключевые слова (от 5 до 10 слов/словосочетаний).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Пропускается 1 пустая строка;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название работы, аннотация и ключевые слова на английском языке (оформляются по аналогии с русским вариантом);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Пропускается 1 пустая строка;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статьи, который оформляется выравниванием по ширине. Отступ абзацев – tab. Не использовать «пробел»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выделения абзацев;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рисунки и таблицы подписываются (используя меню Ссылки в MS Word), нумерация сквозная. Важно: рисунки предоставляются в формате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«черно-белый»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«оттенки серого»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всех изображений (диаграммы, графики и т.д.) используется 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«Рисунок».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использованной литературы обязателен, располагается в конце статьи. Оформляется следующим образом: </w:t>
      </w:r>
    </w:p>
    <w:p w:rsidR="002A183A" w:rsidRDefault="009902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пропуск строки после основного текста; </w:t>
      </w:r>
    </w:p>
    <w:p w:rsidR="002A183A" w:rsidRDefault="009902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Фраза «Список литературы», написанная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полужирным 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выравниванием по центру;</w:t>
      </w:r>
    </w:p>
    <w:p w:rsidR="002A183A" w:rsidRDefault="009902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строки;</w:t>
      </w:r>
    </w:p>
    <w:p w:rsidR="002A183A" w:rsidRDefault="009902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нумерованный список библиографических ссылок, оформленный также, как и основной текст статьи</w:t>
      </w:r>
    </w:p>
    <w:p w:rsidR="002A183A" w:rsidRDefault="0099020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Библиографические ссылки в тексте статьи оформляются в квадратных скобках (например, [2, с.64]). Оформляется согласно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 7.32-2017.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Шаблон оформления статьи приведен в Приложении 1 (в самом конце).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Контактные данные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Российский экономический университет им. Г.В. Плеханова, адрес: Россия, 117997, Москва, пер. Стремянный, дом 36.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интересующие Вас вопросы Вы можете задать в официальной группе мероприятия, отправив письмо по электронному адресу Конференции, а также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прямую главному организатору.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Официальная группа Конференции в социальной сети «Вконтакте»: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https://vk.com/mplexch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сайт Ломоносов для подачи заявки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https://lomonosov-msu.ru/rus/event/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7215/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Главный организатор: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Игорь Гамарник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Intplekhconf@mail.ru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89637217929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уважением,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Оргкомитет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XXXV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дународной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научно-практической конференции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“Плехановские Чтения”</w:t>
      </w:r>
    </w:p>
    <w:p w:rsidR="002A183A" w:rsidRDefault="0099020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183A">
          <w:pgSz w:w="11906" w:h="16838"/>
          <w:pgMar w:top="1134" w:right="1134" w:bottom="1134" w:left="1134" w:header="709" w:footer="709" w:gutter="0"/>
          <w:pgNumType w:start="1"/>
          <w:cols w:space="720"/>
        </w:sectPr>
      </w:pPr>
      <w:r>
        <w:br w:type="page"/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1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Образец оформления статьи 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 И. И.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курс, факультет менеджмента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РЭУ им. Г. В. Плеханова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Научный руководитель: Петров П. П.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к.э.н., доцент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экономической теории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РЭУ им. Г. В. Плеханова 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ЭКОНОМИЧЕСКИЕ РИСКИ ИНФОРМАТИЗАЦИИ ОБЩЕСТВА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то, что еще не все страны осуществили переход к постиндустриальной модели развития, процесс информатизации затрагивает все общество, о чем свидетельствует постепенная автоматизация произво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и управления. Одним из последствий данного процесса является возникновение экономических рисков, которые препятствуют развитию малого и среднего бизнеса.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риски, ассиметричная информация, неблагоприятный отбор, информатизация, санкции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ECONOMIC RISKS OF INFORMATIZATION OF SOCIETY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despite the fact that not all countries have made the transition to a post-industrial model of development, the process of informatization affects the whole society, as evidenced by the gradual 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tomation of production and management. One of the consequences of this process is the emergence of economic risks that hinder the development of small and medium-sized businesses. 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risk, asymmetric information, adverse selection, informatization,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sanctions.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статьи 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83A" w:rsidRDefault="0099020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1 - Рост объема ВВП в некоторых странах</w:t>
      </w:r>
    </w:p>
    <w:p w:rsidR="002A183A" w:rsidRDefault="002A1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9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0"/>
        <w:gridCol w:w="1107"/>
        <w:gridCol w:w="1243"/>
        <w:gridCol w:w="1108"/>
        <w:gridCol w:w="1243"/>
        <w:gridCol w:w="1108"/>
        <w:gridCol w:w="1414"/>
      </w:tblGrid>
      <w:tr w:rsidR="002A183A">
        <w:trPr>
          <w:trHeight w:val="1077"/>
        </w:trPr>
        <w:tc>
          <w:tcPr>
            <w:tcW w:w="2201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Страны</w:t>
            </w:r>
          </w:p>
        </w:tc>
        <w:tc>
          <w:tcPr>
            <w:tcW w:w="1107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243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1108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1243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1108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4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Рост (раз)</w:t>
            </w:r>
          </w:p>
        </w:tc>
      </w:tr>
      <w:tr w:rsidR="002A183A">
        <w:trPr>
          <w:trHeight w:val="526"/>
        </w:trPr>
        <w:tc>
          <w:tcPr>
            <w:tcW w:w="2201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Бразилия </w:t>
            </w:r>
          </w:p>
        </w:tc>
        <w:tc>
          <w:tcPr>
            <w:tcW w:w="1107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1243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1108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1243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1108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1414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1,31</w:t>
            </w:r>
          </w:p>
        </w:tc>
      </w:tr>
      <w:tr w:rsidR="002A183A">
        <w:trPr>
          <w:trHeight w:val="526"/>
        </w:trPr>
        <w:tc>
          <w:tcPr>
            <w:tcW w:w="2201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Великобритания</w:t>
            </w:r>
          </w:p>
        </w:tc>
        <w:tc>
          <w:tcPr>
            <w:tcW w:w="1107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243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1108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1156</w:t>
            </w:r>
          </w:p>
        </w:tc>
        <w:tc>
          <w:tcPr>
            <w:tcW w:w="1243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1256</w:t>
            </w:r>
          </w:p>
        </w:tc>
        <w:tc>
          <w:tcPr>
            <w:tcW w:w="1108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1294</w:t>
            </w:r>
          </w:p>
        </w:tc>
        <w:tc>
          <w:tcPr>
            <w:tcW w:w="1414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1,24</w:t>
            </w:r>
          </w:p>
        </w:tc>
      </w:tr>
      <w:tr w:rsidR="002A183A">
        <w:trPr>
          <w:trHeight w:val="526"/>
        </w:trPr>
        <w:tc>
          <w:tcPr>
            <w:tcW w:w="2201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Германия</w:t>
            </w:r>
          </w:p>
        </w:tc>
        <w:tc>
          <w:tcPr>
            <w:tcW w:w="1107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2270</w:t>
            </w:r>
          </w:p>
        </w:tc>
        <w:tc>
          <w:tcPr>
            <w:tcW w:w="1243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2361</w:t>
            </w:r>
          </w:p>
        </w:tc>
        <w:tc>
          <w:tcPr>
            <w:tcW w:w="1108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2477</w:t>
            </w:r>
          </w:p>
        </w:tc>
        <w:tc>
          <w:tcPr>
            <w:tcW w:w="1243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2603</w:t>
            </w:r>
          </w:p>
        </w:tc>
        <w:tc>
          <w:tcPr>
            <w:tcW w:w="1108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2680</w:t>
            </w:r>
          </w:p>
        </w:tc>
        <w:tc>
          <w:tcPr>
            <w:tcW w:w="1414" w:type="dxa"/>
          </w:tcPr>
          <w:p w:rsidR="002A183A" w:rsidRDefault="00990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1,18</w:t>
            </w:r>
          </w:p>
        </w:tc>
      </w:tr>
    </w:tbl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статьи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684530</wp:posOffset>
            </wp:positionH>
            <wp:positionV relativeFrom="paragraph">
              <wp:posOffset>325120</wp:posOffset>
            </wp:positionV>
            <wp:extent cx="5029200" cy="1818640"/>
            <wp:effectExtent l="0" t="0" r="0" b="0"/>
            <wp:wrapTopAndBottom distT="0" dist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81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1 - Темпы роста ВВП</w:t>
      </w: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статьи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83A" w:rsidRDefault="009902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2A183A" w:rsidRDefault="002A1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83A" w:rsidRDefault="009902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Гребенников, П. И. Экономика: учебник для академического бакалавриата / П. И. Гребенников, Л. С. Тарасевич. — 5-е изд., перераб. и доп. — Москва: Издательство Юрайт, 2018. — 310 с. </w:t>
      </w:r>
    </w:p>
    <w:p w:rsidR="002A183A" w:rsidRDefault="009902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Дудин С.Г., Чайка С. М., Ануприенко Д.Н. Управление внешними эффектами в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кономической системе постиндустриального мира // Новые технологии. – 2018. </w:t>
      </w:r>
    </w:p>
    <w:p w:rsidR="002A183A" w:rsidRDefault="009902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Министерства цифрового развития, связи и массовых коммуникаций Российской Федерации [Электронный ресурс] - Режим доступа: https://digital.gov.ru/ru/events/38738/ (дата обращен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 07.11.2019).</w:t>
      </w:r>
    </w:p>
    <w:sectPr w:rsidR="002A183A">
      <w:pgSz w:w="11906" w:h="16838"/>
      <w:pgMar w:top="1134" w:right="1132" w:bottom="1134" w:left="113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E6B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A1587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866B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6F22AB"/>
    <w:multiLevelType w:val="multilevel"/>
    <w:tmpl w:val="FFFFFFFF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3A"/>
    <w:rsid w:val="002A183A"/>
    <w:rsid w:val="009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D32033B-9AFC-5145-8FD4-8FEB7037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E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E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80DA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0DA5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0DA5"/>
    <w:rPr>
      <w:color w:val="605E5C"/>
      <w:shd w:val="clear" w:color="auto" w:fill="E1DFDD"/>
    </w:rPr>
  </w:style>
  <w:style w:type="paragraph" w:styleId="a8">
    <w:name w:val="caption"/>
    <w:basedOn w:val="a"/>
    <w:next w:val="a"/>
    <w:uiPriority w:val="35"/>
    <w:unhideWhenUsed/>
    <w:qFormat/>
    <w:rsid w:val="005C0E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D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92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092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92E3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7215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lomonosov-msu.ru/rus/event/7215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RozGyAG2K3E7BW9LDypuzd2zg==">AMUW2mX8c2WRssfLQabg9F7fC4v7KxGjaqMjT1tdUx5RnI6ur7E9wMnJ+7AYVgJsaLCBh31Mg3rJopT0rJd2rJ7u6vim83qjKN6XhXfkKvVxr1CuS0rBu0Qgix0JVvX0KIYR7eN0e3B8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ECD69-5553-4539-9D3A-D6286106A647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F2E9C919-0AD7-43DA-8EBD-6BF69AF64110}"/>
</file>

<file path=customXml/itemProps4.xml><?xml version="1.0" encoding="utf-8"?>
<ds:datastoreItem xmlns:ds="http://schemas.openxmlformats.org/officeDocument/2006/customXml" ds:itemID="{C252921D-4C17-43D5-8D85-038640DD8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1892</Words>
  <Characters>10790</Characters>
  <Application>Microsoft Office Word</Application>
  <DocSecurity>0</DocSecurity>
  <Lines>89</Lines>
  <Paragraphs>25</Paragraphs>
  <ScaleCrop>false</ScaleCrop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Эркенова Джамиля Магометовна</dc:creator>
  <cp:lastModifiedBy>Елена .</cp:lastModifiedBy>
  <cp:revision>2</cp:revision>
  <dcterms:created xsi:type="dcterms:W3CDTF">2022-01-23T13:05:00Z</dcterms:created>
  <dcterms:modified xsi:type="dcterms:W3CDTF">2022-01-23T13:05:00Z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